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DE9" w:rsidRPr="001F4203" w:rsidRDefault="008F7DE9" w:rsidP="001F4203">
      <w:pPr>
        <w:pStyle w:val="ListParagraph"/>
        <w:spacing w:after="120"/>
        <w:ind w:left="0"/>
        <w:contextualSpacing w:val="0"/>
        <w:jc w:val="center"/>
        <w:rPr>
          <w:rFonts w:ascii="Arial" w:hAnsi="Arial" w:cs="Arial"/>
          <w:b/>
          <w:color w:val="4F81BD" w:themeColor="accent1"/>
          <w:sz w:val="20"/>
          <w:szCs w:val="20"/>
          <w:lang w:val="bg-BG"/>
        </w:rPr>
      </w:pPr>
      <w:bookmarkStart w:id="0" w:name="_GoBack"/>
      <w:bookmarkEnd w:id="0"/>
      <w:r w:rsidRPr="001F4203">
        <w:rPr>
          <w:rFonts w:ascii="Arial" w:hAnsi="Arial" w:cs="Arial"/>
          <w:b/>
          <w:color w:val="4F81BD" w:themeColor="accent1"/>
          <w:sz w:val="20"/>
          <w:szCs w:val="20"/>
          <w:lang w:val="bg-BG"/>
        </w:rPr>
        <w:t>ФИНАНСОВ ИНСТРУМЕНТ</w:t>
      </w:r>
    </w:p>
    <w:p w:rsidR="00064899" w:rsidRDefault="008F7DE9" w:rsidP="001F4203">
      <w:pPr>
        <w:pStyle w:val="ListParagraph"/>
        <w:spacing w:after="120"/>
        <w:ind w:left="0"/>
        <w:contextualSpacing w:val="0"/>
        <w:jc w:val="center"/>
        <w:rPr>
          <w:rFonts w:ascii="Arial" w:hAnsi="Arial" w:cs="Arial"/>
          <w:b/>
          <w:color w:val="4F81BD" w:themeColor="accent1"/>
          <w:sz w:val="20"/>
          <w:szCs w:val="20"/>
          <w:lang w:val="bg-BG"/>
        </w:rPr>
      </w:pPr>
      <w:r w:rsidRPr="001F4203">
        <w:rPr>
          <w:rFonts w:ascii="Arial" w:hAnsi="Arial" w:cs="Arial"/>
          <w:b/>
          <w:color w:val="4F81BD" w:themeColor="accent1"/>
          <w:sz w:val="20"/>
          <w:szCs w:val="20"/>
          <w:lang w:val="bg-BG"/>
        </w:rPr>
        <w:t>ПО ПРСР 2014-2020</w:t>
      </w:r>
    </w:p>
    <w:p w:rsidR="001F4203" w:rsidRPr="001F4203" w:rsidRDefault="001F4203" w:rsidP="001F4203">
      <w:pPr>
        <w:pStyle w:val="ListParagraph"/>
        <w:spacing w:after="120"/>
        <w:ind w:left="0"/>
        <w:contextualSpacing w:val="0"/>
        <w:jc w:val="center"/>
        <w:rPr>
          <w:rFonts w:ascii="Arial" w:hAnsi="Arial" w:cs="Arial"/>
          <w:b/>
          <w:color w:val="4F81BD" w:themeColor="accent1"/>
          <w:sz w:val="20"/>
          <w:szCs w:val="20"/>
          <w:lang w:val="bg-BG"/>
        </w:rPr>
      </w:pPr>
    </w:p>
    <w:p w:rsidR="008F7DE9" w:rsidRPr="00686458" w:rsidRDefault="008F7DE9" w:rsidP="001F4203">
      <w:pPr>
        <w:pStyle w:val="ListParagraph"/>
        <w:spacing w:after="120"/>
        <w:ind w:left="0" w:firstLine="708"/>
        <w:contextualSpacing w:val="0"/>
        <w:jc w:val="both"/>
        <w:rPr>
          <w:rFonts w:ascii="Arial" w:hAnsi="Arial" w:cs="Arial"/>
          <w:sz w:val="20"/>
          <w:szCs w:val="20"/>
          <w:lang w:val="bg-BG"/>
        </w:rPr>
      </w:pPr>
      <w:r w:rsidRPr="00686458">
        <w:rPr>
          <w:rFonts w:ascii="Arial" w:hAnsi="Arial" w:cs="Arial"/>
          <w:sz w:val="20"/>
          <w:szCs w:val="20"/>
          <w:lang w:val="bg-BG"/>
        </w:rPr>
        <w:t>През м. май 2018 г. беше извършена Предварителна оценка</w:t>
      </w:r>
      <w:r w:rsidRPr="00686458">
        <w:rPr>
          <w:rStyle w:val="FootnoteReference"/>
          <w:rFonts w:ascii="Arial" w:hAnsi="Arial" w:cs="Arial"/>
          <w:sz w:val="20"/>
          <w:szCs w:val="20"/>
          <w:lang w:val="bg-BG"/>
        </w:rPr>
        <w:footnoteReference w:id="1"/>
      </w:r>
      <w:r w:rsidRPr="00686458">
        <w:rPr>
          <w:rFonts w:ascii="Arial" w:hAnsi="Arial" w:cs="Arial"/>
          <w:sz w:val="20"/>
          <w:szCs w:val="20"/>
          <w:lang w:val="bg-BG"/>
        </w:rPr>
        <w:t xml:space="preserve"> на финансови инструменти по ПРСР 2014-2020 г., която идентифицира неоптимални инвестиционни ситуации, даващи основание за прилагане на ФИ, целящи повишаване нивото на предлаганите кредити и насърчаване на конкурентоспособността в сектора. Предварителната оценка потвърждава наличието на пазарна неефективност и неоптимална инвестиционна ситуация в селските райони която води до пазарен недостиг, чийто размер се изчислява приблизително на 469,6 млн. евро за сектор земеделие и 152 млн. евро за микропредприятията в селски райони.  </w:t>
      </w:r>
    </w:p>
    <w:p w:rsidR="008F7DE9" w:rsidRPr="00686458" w:rsidRDefault="008F7DE9" w:rsidP="001F4203">
      <w:pPr>
        <w:pStyle w:val="ListParagraph"/>
        <w:spacing w:after="120"/>
        <w:ind w:left="0" w:firstLine="357"/>
        <w:contextualSpacing w:val="0"/>
        <w:jc w:val="both"/>
        <w:rPr>
          <w:rFonts w:ascii="Arial" w:hAnsi="Arial" w:cs="Arial"/>
          <w:sz w:val="20"/>
          <w:szCs w:val="20"/>
          <w:lang w:val="bg-BG"/>
        </w:rPr>
      </w:pPr>
      <w:r w:rsidRPr="00686458">
        <w:rPr>
          <w:rFonts w:ascii="Arial" w:hAnsi="Arial" w:cs="Arial"/>
          <w:sz w:val="20"/>
          <w:szCs w:val="20"/>
          <w:lang w:val="bg-BG"/>
        </w:rPr>
        <w:t xml:space="preserve">Анализът, извършен в рамките на предварителната оценка, показва, че с оглед спецификите на сектор „Земеделие“, нуждите от подкрепа при достъпа до външно финансиране, възможностите на финансовите институции и реализираните до момента финансови инструменти както в България, така и в други страни членки, най-подходящ за прилагане финансов продукт би бил заемът с поделяне на риска с </w:t>
      </w:r>
      <w:r w:rsidR="003F07C2">
        <w:rPr>
          <w:rFonts w:ascii="Arial" w:hAnsi="Arial" w:cs="Arial"/>
          <w:sz w:val="20"/>
          <w:szCs w:val="20"/>
          <w:lang w:val="bg-BG"/>
        </w:rPr>
        <w:t>две</w:t>
      </w:r>
      <w:r w:rsidRPr="00686458">
        <w:rPr>
          <w:rFonts w:ascii="Arial" w:hAnsi="Arial" w:cs="Arial"/>
          <w:sz w:val="20"/>
          <w:szCs w:val="20"/>
          <w:lang w:val="bg-BG"/>
        </w:rPr>
        <w:t xml:space="preserve"> възможности: </w:t>
      </w:r>
    </w:p>
    <w:p w:rsidR="008F7DE9" w:rsidRPr="00686458" w:rsidRDefault="008F7DE9" w:rsidP="008F7DE9">
      <w:pPr>
        <w:pStyle w:val="ListParagraph"/>
        <w:numPr>
          <w:ilvl w:val="0"/>
          <w:numId w:val="1"/>
        </w:numPr>
        <w:spacing w:before="120" w:after="120"/>
        <w:ind w:left="714" w:hanging="357"/>
        <w:jc w:val="both"/>
        <w:rPr>
          <w:rFonts w:ascii="Arial" w:hAnsi="Arial" w:cs="Arial"/>
          <w:sz w:val="20"/>
          <w:szCs w:val="20"/>
          <w:lang w:val="bg-BG"/>
        </w:rPr>
      </w:pPr>
      <w:r w:rsidRPr="00686458">
        <w:rPr>
          <w:rFonts w:ascii="Arial" w:hAnsi="Arial" w:cs="Arial"/>
          <w:sz w:val="20"/>
          <w:szCs w:val="20"/>
          <w:lang w:val="bg-BG"/>
        </w:rPr>
        <w:t>кредит за съфинансиране на бенефициент на проект, финансиран с БФП от ПРСР за земеделски и неземеделски инвестиции в селски райони, включително инвестиции, финансирани по програма ЛИДЕР;</w:t>
      </w:r>
    </w:p>
    <w:p w:rsidR="008F7DE9" w:rsidRPr="00686458" w:rsidRDefault="008F7DE9" w:rsidP="008F7DE9">
      <w:pPr>
        <w:pStyle w:val="ListParagraph"/>
        <w:numPr>
          <w:ilvl w:val="0"/>
          <w:numId w:val="1"/>
        </w:numPr>
        <w:spacing w:before="120" w:after="120"/>
        <w:ind w:left="714" w:hanging="357"/>
        <w:contextualSpacing w:val="0"/>
        <w:jc w:val="both"/>
        <w:rPr>
          <w:rFonts w:ascii="Arial" w:hAnsi="Arial" w:cs="Arial"/>
          <w:sz w:val="20"/>
          <w:szCs w:val="20"/>
          <w:lang w:val="bg-BG"/>
        </w:rPr>
      </w:pPr>
      <w:r w:rsidRPr="00686458">
        <w:rPr>
          <w:rFonts w:ascii="Arial" w:hAnsi="Arial" w:cs="Arial"/>
          <w:sz w:val="20"/>
          <w:szCs w:val="20"/>
          <w:lang w:val="bg-BG"/>
        </w:rPr>
        <w:t xml:space="preserve">самостоятелен кредит, отпускан по подмерки 4.1, 4.2 и 6.4 по програмата. </w:t>
      </w:r>
    </w:p>
    <w:p w:rsidR="004F7EF0" w:rsidRPr="00686458" w:rsidRDefault="008F7DE9" w:rsidP="001F4203">
      <w:pPr>
        <w:pStyle w:val="ListParagraph"/>
        <w:spacing w:after="120"/>
        <w:ind w:left="0" w:firstLine="357"/>
        <w:contextualSpacing w:val="0"/>
        <w:jc w:val="both"/>
        <w:rPr>
          <w:rFonts w:ascii="Arial" w:hAnsi="Arial" w:cs="Arial"/>
          <w:sz w:val="20"/>
          <w:szCs w:val="20"/>
          <w:lang w:val="bg-BG"/>
        </w:rPr>
      </w:pPr>
      <w:r w:rsidRPr="00686458">
        <w:rPr>
          <w:rFonts w:ascii="Arial" w:hAnsi="Arial" w:cs="Arial"/>
          <w:sz w:val="20"/>
          <w:szCs w:val="20"/>
          <w:lang w:val="bg-BG"/>
        </w:rPr>
        <w:t xml:space="preserve">Финансовият инструмент по ПРСР 2014-2020 г. е разработен с цел принос за адресиране на неоптималните инвестиционни ситуации и пазарни дефекти и се стреми да адресира някои от специфичните предизвикателства при използването на ФИ в сектор „Земеделие“, предимно свързани с достъпа до финансиране, високите лихвени нива и относително ограничената склонност на търговските банки да поемат риск при инвестиции в сектора. </w:t>
      </w:r>
    </w:p>
    <w:p w:rsidR="004F7EF0" w:rsidRPr="001F4203" w:rsidRDefault="004F7EF0" w:rsidP="004F7EF0">
      <w:pPr>
        <w:pStyle w:val="ListParagraph"/>
        <w:spacing w:after="120"/>
        <w:ind w:left="0"/>
        <w:contextualSpacing w:val="0"/>
        <w:jc w:val="both"/>
        <w:rPr>
          <w:rFonts w:ascii="Arial" w:hAnsi="Arial" w:cs="Arial"/>
          <w:sz w:val="20"/>
          <w:szCs w:val="20"/>
          <w:lang w:val="bg-BG"/>
        </w:rPr>
      </w:pPr>
    </w:p>
    <w:p w:rsidR="004F7EF0" w:rsidRPr="00BC7462" w:rsidRDefault="004F7EF0" w:rsidP="004F7EF0">
      <w:pPr>
        <w:pStyle w:val="ListParagraph"/>
        <w:spacing w:after="120"/>
        <w:ind w:left="2832" w:firstLine="708"/>
        <w:contextualSpacing w:val="0"/>
        <w:jc w:val="both"/>
        <w:rPr>
          <w:rFonts w:ascii="Arial" w:hAnsi="Arial" w:cs="Arial"/>
          <w:sz w:val="20"/>
          <w:szCs w:val="20"/>
          <w:lang w:val="bg-BG"/>
        </w:rPr>
      </w:pPr>
      <w:r w:rsidRPr="00686458">
        <w:rPr>
          <w:rFonts w:ascii="Arial" w:hAnsi="Arial" w:cs="Arial"/>
          <w:b/>
          <w:color w:val="4F81BD" w:themeColor="accent1"/>
          <w:sz w:val="20"/>
          <w:szCs w:val="20"/>
          <w:lang w:val="bg-BG"/>
        </w:rPr>
        <w:t>Пазарен контекст</w:t>
      </w:r>
    </w:p>
    <w:p w:rsidR="004F7EF0" w:rsidRPr="00686458" w:rsidRDefault="004F7EF0" w:rsidP="004F7EF0">
      <w:pPr>
        <w:keepNext/>
        <w:spacing w:after="120"/>
        <w:ind w:firstLine="708"/>
        <w:jc w:val="both"/>
        <w:rPr>
          <w:rFonts w:ascii="Arial" w:hAnsi="Arial" w:cs="Arial"/>
          <w:bCs/>
          <w:sz w:val="20"/>
          <w:szCs w:val="20"/>
        </w:rPr>
      </w:pPr>
      <w:r w:rsidRPr="00686458">
        <w:rPr>
          <w:rFonts w:ascii="Arial" w:hAnsi="Arial" w:cs="Arial"/>
          <w:bCs/>
          <w:sz w:val="20"/>
          <w:szCs w:val="20"/>
        </w:rPr>
        <w:t>Сектор Земеделие се различава от другите сектори в икономиката по вида на активите и източниците за тяхното финансиране. Възможностите за външно финансиране са ограничени от вида на активите, с които предприятията оперират. В много случаи залог на продукция, машини, живи животни или селскостопански сгради не са приемливи за финансиращите институции или се приемат, но при значително намалени оценки на стойността на активите. Добрите практики изискват финансирането да бъде обосновано на база очакваните приходи от дейността, но при земеделските стопанства доходите са свързани с редица рискове, както свързани с климата и времето, така и с пазарните условия.</w:t>
      </w:r>
    </w:p>
    <w:p w:rsidR="004F7EF0" w:rsidRPr="00686458" w:rsidRDefault="004F7EF0" w:rsidP="004F7EF0">
      <w:pPr>
        <w:keepNext/>
        <w:spacing w:after="120"/>
        <w:ind w:firstLine="708"/>
        <w:jc w:val="both"/>
        <w:rPr>
          <w:rFonts w:ascii="Arial" w:hAnsi="Arial" w:cs="Arial"/>
          <w:bCs/>
          <w:sz w:val="20"/>
          <w:szCs w:val="20"/>
        </w:rPr>
      </w:pPr>
      <w:r w:rsidRPr="00686458">
        <w:rPr>
          <w:rFonts w:ascii="Arial" w:hAnsi="Arial" w:cs="Arial"/>
          <w:bCs/>
          <w:sz w:val="20"/>
          <w:szCs w:val="20"/>
        </w:rPr>
        <w:t xml:space="preserve">В Програмата  се отчита нуждата от повишаване на жизнеспособността и устойчивостта на малките земеделски стопанства, представляващи 86% от общия брой стопанства и ангажиращи 65% от заетите в сектора. При тях се идентифицира ниска производителност и високи разходи поради неефективен размер и в този смисъл превръщането им в жизнеспособни предприятия е важен фактор за намаляване на риска за обезлюдяване на селските райони. Установена е необходимостта от повишаване на конкурентоспособността на стопанствата в секторите за производство на мляко, месо, плодове и зеленчуци и етерично-маслени и лекарствени култури. Потенциал за увеличение има и в редица ниши с по-висока добавена стойност като органичното земеделие, където площите нарастват, но изоставането </w:t>
      </w:r>
      <w:r w:rsidRPr="00686458">
        <w:rPr>
          <w:rFonts w:ascii="Arial" w:hAnsi="Arial" w:cs="Arial"/>
          <w:bCs/>
          <w:sz w:val="20"/>
          <w:szCs w:val="20"/>
        </w:rPr>
        <w:lastRenderedPageBreak/>
        <w:t xml:space="preserve">все още е значително спрямо средните стойности за ЕС (3,2% за България при 6,7% средно за ЕС). </w:t>
      </w:r>
    </w:p>
    <w:p w:rsidR="004F7EF0" w:rsidRPr="00686458" w:rsidRDefault="004F7EF0" w:rsidP="004F7EF0">
      <w:pPr>
        <w:keepNext/>
        <w:spacing w:after="120"/>
        <w:ind w:firstLine="708"/>
        <w:jc w:val="both"/>
        <w:rPr>
          <w:rFonts w:ascii="Arial" w:hAnsi="Arial" w:cs="Arial"/>
          <w:bCs/>
          <w:sz w:val="20"/>
          <w:szCs w:val="20"/>
        </w:rPr>
      </w:pPr>
      <w:r w:rsidRPr="00686458">
        <w:rPr>
          <w:rFonts w:ascii="Arial" w:hAnsi="Arial" w:cs="Arial"/>
          <w:bCs/>
          <w:sz w:val="20"/>
          <w:szCs w:val="20"/>
        </w:rPr>
        <w:t>В секторите за производство на месо, мляко, плодове и зеленчуци, въпреки благоприятния агроекологичен потенциал и традиции, производството расте бавно или спада поради проблеми в производствените структури, забавена модернизация и ниска хоризонтална и вертикална интеграция и влошено състояние или неразвита публична инфраструктурата, която ги обслужва. Секторите са изправени пред различни предизвикателства, свързани с климатичните промени, промени на европейската политика и увеличена конкуренция на вътрешния и международните пазари. Развитието на тези първични сектори е важно и за конкурентоспособността на вертикално свързаните сектори, а и за запазването на работните места в селските райони.</w:t>
      </w:r>
    </w:p>
    <w:p w:rsidR="004F7EF0" w:rsidRPr="00686458" w:rsidRDefault="004F7EF0" w:rsidP="004F7EF0">
      <w:pPr>
        <w:keepNext/>
        <w:spacing w:after="120"/>
        <w:ind w:firstLine="708"/>
        <w:jc w:val="both"/>
        <w:rPr>
          <w:rFonts w:ascii="Arial" w:hAnsi="Arial" w:cs="Arial"/>
          <w:bCs/>
          <w:sz w:val="20"/>
          <w:szCs w:val="20"/>
        </w:rPr>
      </w:pPr>
      <w:r w:rsidRPr="00686458">
        <w:rPr>
          <w:rFonts w:ascii="Arial" w:hAnsi="Arial" w:cs="Arial"/>
          <w:bCs/>
          <w:sz w:val="20"/>
          <w:szCs w:val="20"/>
        </w:rPr>
        <w:t xml:space="preserve">Въпреки по-високите нива на безработица в селските райони, съществува липса на кадри, която се отразява и на разходите за труд - един от основните външни разходи в сектора. Отбелязва се също и ръст в разходите за рента и в цената на земеделската земя. Специфични за сектора кредити са тези за покупка на земя, оборотни кредити срещу залог на субсидии и кредити за реализация на проекти по ПРСР. </w:t>
      </w:r>
    </w:p>
    <w:p w:rsidR="004F7EF0" w:rsidRPr="00686458" w:rsidRDefault="004F7EF0" w:rsidP="004F7EF0">
      <w:pPr>
        <w:keepNext/>
        <w:spacing w:after="120"/>
        <w:ind w:firstLine="708"/>
        <w:jc w:val="both"/>
        <w:rPr>
          <w:rFonts w:ascii="Arial" w:hAnsi="Arial" w:cs="Arial"/>
          <w:bCs/>
          <w:sz w:val="20"/>
          <w:szCs w:val="20"/>
        </w:rPr>
      </w:pPr>
      <w:r w:rsidRPr="00686458">
        <w:rPr>
          <w:rFonts w:ascii="Arial" w:hAnsi="Arial" w:cs="Arial"/>
          <w:bCs/>
          <w:sz w:val="20"/>
          <w:szCs w:val="20"/>
        </w:rPr>
        <w:t>Други предизвикателства за сектора са обезлюдяването, ниската икономическа активност в селските райони, лоша инфраструктура, ограничен културен и социален живот.</w:t>
      </w:r>
    </w:p>
    <w:p w:rsidR="004F7EF0" w:rsidRPr="00686458" w:rsidRDefault="004F7EF0" w:rsidP="004F7EF0">
      <w:pPr>
        <w:keepNext/>
        <w:spacing w:after="120"/>
        <w:ind w:firstLine="708"/>
        <w:jc w:val="both"/>
        <w:rPr>
          <w:rFonts w:ascii="Arial" w:hAnsi="Arial" w:cs="Arial"/>
          <w:bCs/>
          <w:sz w:val="20"/>
          <w:szCs w:val="20"/>
        </w:rPr>
      </w:pPr>
      <w:r w:rsidRPr="00686458">
        <w:rPr>
          <w:rFonts w:ascii="Arial" w:hAnsi="Arial" w:cs="Arial"/>
          <w:bCs/>
          <w:sz w:val="20"/>
          <w:szCs w:val="20"/>
        </w:rPr>
        <w:t>С Предварителната оценка са проучени предлагането и търсенето на финансиране в сектор „Земеделие“, като са идентифицирани случаите на пазарна неефективност, довели до наблюдаваните неоптимални инвестиционни ситуации и пазарни дефекти, както следва:</w:t>
      </w:r>
    </w:p>
    <w:p w:rsidR="004F7EF0" w:rsidRPr="00BC7462" w:rsidRDefault="004F7EF0" w:rsidP="004F7EF0">
      <w:pPr>
        <w:keepNext/>
        <w:spacing w:after="120"/>
        <w:jc w:val="both"/>
        <w:rPr>
          <w:rFonts w:ascii="Arial" w:hAnsi="Arial" w:cs="Arial"/>
          <w:bCs/>
          <w:sz w:val="20"/>
          <w:szCs w:val="20"/>
        </w:rPr>
      </w:pPr>
    </w:p>
    <w:p w:rsidR="004F7EF0" w:rsidRPr="00686458" w:rsidRDefault="004F7EF0" w:rsidP="004F7EF0">
      <w:pPr>
        <w:pStyle w:val="Caption"/>
        <w:keepNext/>
        <w:rPr>
          <w:rFonts w:ascii="Arial" w:hAnsi="Arial" w:cs="Arial"/>
          <w:sz w:val="20"/>
          <w:szCs w:val="20"/>
          <w:lang w:val="bg-BG"/>
        </w:rPr>
      </w:pPr>
      <w:r w:rsidRPr="00686458">
        <w:rPr>
          <w:rFonts w:ascii="Arial" w:hAnsi="Arial" w:cs="Arial"/>
          <w:noProof/>
          <w:sz w:val="20"/>
          <w:szCs w:val="20"/>
          <w:lang w:val="en-US"/>
        </w:rPr>
        <w:drawing>
          <wp:anchor distT="0" distB="0" distL="114300" distR="114300" simplePos="0" relativeHeight="251659264" behindDoc="0" locked="0" layoutInCell="1" allowOverlap="1" wp14:anchorId="35CCDB24" wp14:editId="0EFFD4E4">
            <wp:simplePos x="0" y="0"/>
            <wp:positionH relativeFrom="margin">
              <wp:posOffset>-62230</wp:posOffset>
            </wp:positionH>
            <wp:positionV relativeFrom="paragraph">
              <wp:posOffset>174625</wp:posOffset>
            </wp:positionV>
            <wp:extent cx="6226175" cy="2305050"/>
            <wp:effectExtent l="0" t="0" r="0" b="0"/>
            <wp:wrapNone/>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page">
              <wp14:pctWidth>0</wp14:pctWidth>
            </wp14:sizeRelH>
            <wp14:sizeRelV relativeFrom="page">
              <wp14:pctHeight>0</wp14:pctHeight>
            </wp14:sizeRelV>
          </wp:anchor>
        </w:drawing>
      </w:r>
      <w:bookmarkStart w:id="1" w:name="_Toc461460044"/>
      <w:bookmarkStart w:id="2" w:name="_Hlk10028832"/>
      <w:bookmarkStart w:id="3" w:name="_Hlk536774720"/>
      <w:r w:rsidRPr="00686458">
        <w:rPr>
          <w:rFonts w:ascii="Arial" w:hAnsi="Arial" w:cs="Arial"/>
          <w:sz w:val="20"/>
          <w:szCs w:val="20"/>
          <w:lang w:val="bg-BG"/>
        </w:rPr>
        <w:t xml:space="preserve">Таблица </w:t>
      </w:r>
      <w:r w:rsidRPr="00686458">
        <w:rPr>
          <w:rFonts w:ascii="Arial" w:hAnsi="Arial" w:cs="Arial"/>
          <w:sz w:val="20"/>
          <w:szCs w:val="20"/>
          <w:lang w:val="bg-BG"/>
        </w:rPr>
        <w:fldChar w:fldCharType="begin"/>
      </w:r>
      <w:r w:rsidRPr="00686458">
        <w:rPr>
          <w:rFonts w:ascii="Arial" w:hAnsi="Arial" w:cs="Arial"/>
          <w:sz w:val="20"/>
          <w:szCs w:val="20"/>
          <w:lang w:val="bg-BG"/>
        </w:rPr>
        <w:instrText xml:space="preserve"> SEQ Table \* ARABIC </w:instrText>
      </w:r>
      <w:r w:rsidRPr="00686458">
        <w:rPr>
          <w:rFonts w:ascii="Arial" w:hAnsi="Arial" w:cs="Arial"/>
          <w:sz w:val="20"/>
          <w:szCs w:val="20"/>
          <w:lang w:val="bg-BG"/>
        </w:rPr>
        <w:fldChar w:fldCharType="separate"/>
      </w:r>
      <w:r w:rsidRPr="00686458">
        <w:rPr>
          <w:rFonts w:ascii="Arial" w:hAnsi="Arial" w:cs="Arial"/>
          <w:noProof/>
          <w:sz w:val="20"/>
          <w:szCs w:val="20"/>
          <w:lang w:val="bg-BG"/>
        </w:rPr>
        <w:t>1</w:t>
      </w:r>
      <w:r w:rsidRPr="00686458">
        <w:rPr>
          <w:rFonts w:ascii="Arial" w:hAnsi="Arial" w:cs="Arial"/>
          <w:sz w:val="20"/>
          <w:szCs w:val="20"/>
          <w:lang w:val="bg-BG"/>
        </w:rPr>
        <w:fldChar w:fldCharType="end"/>
      </w:r>
      <w:r w:rsidRPr="00686458">
        <w:rPr>
          <w:rFonts w:ascii="Arial" w:hAnsi="Arial" w:cs="Arial"/>
          <w:sz w:val="20"/>
          <w:szCs w:val="20"/>
          <w:lang w:val="bg-BG"/>
        </w:rPr>
        <w:t>: Неоптимална инвестиционна ситуация</w:t>
      </w:r>
      <w:bookmarkEnd w:id="1"/>
      <w:r w:rsidRPr="00686458">
        <w:rPr>
          <w:rFonts w:ascii="Arial" w:hAnsi="Arial" w:cs="Arial"/>
          <w:sz w:val="20"/>
          <w:szCs w:val="20"/>
          <w:lang w:val="bg-BG"/>
        </w:rPr>
        <w:t xml:space="preserve"> </w:t>
      </w:r>
    </w:p>
    <w:p w:rsidR="004F7EF0" w:rsidRPr="00686458" w:rsidRDefault="004F7EF0" w:rsidP="004F7EF0">
      <w:pPr>
        <w:rPr>
          <w:rFonts w:ascii="Arial" w:hAnsi="Arial" w:cs="Arial"/>
        </w:rPr>
      </w:pPr>
    </w:p>
    <w:p w:rsidR="004F7EF0" w:rsidRPr="00686458" w:rsidRDefault="004F7EF0" w:rsidP="004F7EF0">
      <w:pPr>
        <w:rPr>
          <w:rFonts w:ascii="Arial" w:hAnsi="Arial" w:cs="Arial"/>
        </w:rPr>
      </w:pPr>
    </w:p>
    <w:p w:rsidR="004F7EF0" w:rsidRPr="00686458" w:rsidRDefault="004F7EF0" w:rsidP="004F7EF0">
      <w:pPr>
        <w:rPr>
          <w:rFonts w:ascii="Arial" w:hAnsi="Arial" w:cs="Arial"/>
        </w:rPr>
      </w:pPr>
    </w:p>
    <w:p w:rsidR="004F7EF0" w:rsidRPr="00686458" w:rsidRDefault="004F7EF0" w:rsidP="004F7EF0">
      <w:pPr>
        <w:spacing w:after="120"/>
        <w:jc w:val="both"/>
        <w:rPr>
          <w:rFonts w:ascii="Arial" w:eastAsia="Calibri" w:hAnsi="Arial" w:cs="Arial"/>
          <w:i/>
          <w:spacing w:val="1"/>
          <w:sz w:val="16"/>
          <w:szCs w:val="16"/>
          <w:lang w:eastAsia="it-IT"/>
        </w:rPr>
      </w:pPr>
      <w:bookmarkStart w:id="4" w:name="_Hlk536774675"/>
    </w:p>
    <w:p w:rsidR="004F7EF0" w:rsidRPr="00686458" w:rsidRDefault="004F7EF0" w:rsidP="004F7EF0">
      <w:pPr>
        <w:rPr>
          <w:rFonts w:ascii="Arial" w:hAnsi="Arial" w:cs="Arial"/>
          <w:noProof/>
          <w:sz w:val="20"/>
          <w:szCs w:val="20"/>
          <w:lang w:eastAsia="bg-BG"/>
        </w:rPr>
      </w:pPr>
    </w:p>
    <w:bookmarkEnd w:id="4"/>
    <w:p w:rsidR="004F7EF0" w:rsidRPr="00686458" w:rsidRDefault="004F7EF0" w:rsidP="004F7EF0">
      <w:pPr>
        <w:rPr>
          <w:rFonts w:ascii="Arial" w:hAnsi="Arial" w:cs="Arial"/>
        </w:rPr>
      </w:pPr>
    </w:p>
    <w:p w:rsidR="004F7EF0" w:rsidRPr="00686458" w:rsidRDefault="004F7EF0" w:rsidP="004F7EF0">
      <w:pPr>
        <w:spacing w:after="0"/>
        <w:jc w:val="center"/>
        <w:rPr>
          <w:rFonts w:ascii="Arial" w:eastAsia="Calibri" w:hAnsi="Arial" w:cs="Arial"/>
          <w:color w:val="000000"/>
        </w:rPr>
      </w:pPr>
    </w:p>
    <w:p w:rsidR="004F7EF0" w:rsidRPr="00686458" w:rsidRDefault="004F7EF0" w:rsidP="004F7EF0">
      <w:pPr>
        <w:pStyle w:val="source"/>
        <w:spacing w:before="0" w:line="276" w:lineRule="auto"/>
        <w:ind w:left="0"/>
        <w:jc w:val="both"/>
        <w:rPr>
          <w:rFonts w:cs="Arial"/>
          <w:lang w:val="bg-BG"/>
        </w:rPr>
      </w:pPr>
    </w:p>
    <w:bookmarkEnd w:id="2"/>
    <w:p w:rsidR="004F7EF0" w:rsidRPr="00686458" w:rsidRDefault="004F7EF0" w:rsidP="004F7EF0">
      <w:pPr>
        <w:spacing w:after="120"/>
        <w:jc w:val="both"/>
        <w:rPr>
          <w:rFonts w:ascii="Arial" w:eastAsia="Calibri" w:hAnsi="Arial" w:cs="Arial"/>
          <w:i/>
          <w:spacing w:val="1"/>
          <w:sz w:val="16"/>
          <w:szCs w:val="16"/>
          <w:lang w:eastAsia="it-IT"/>
        </w:rPr>
      </w:pPr>
      <w:r w:rsidRPr="00686458">
        <w:rPr>
          <w:rFonts w:ascii="Arial" w:eastAsia="Calibri" w:hAnsi="Arial" w:cs="Arial"/>
          <w:i/>
          <w:spacing w:val="1"/>
          <w:sz w:val="16"/>
          <w:szCs w:val="16"/>
          <w:lang w:eastAsia="it-IT"/>
        </w:rPr>
        <w:t>Източник: Предварителна оценка на финансови инструменти по ОПРСР 2014-2020 г.</w:t>
      </w:r>
    </w:p>
    <w:bookmarkEnd w:id="3"/>
    <w:p w:rsidR="004F7EF0" w:rsidRPr="00BC7462" w:rsidRDefault="004F7EF0" w:rsidP="004F7EF0">
      <w:pPr>
        <w:pStyle w:val="ListParagraph"/>
        <w:spacing w:after="120"/>
        <w:ind w:left="0"/>
        <w:contextualSpacing w:val="0"/>
        <w:jc w:val="both"/>
        <w:rPr>
          <w:rFonts w:ascii="Arial" w:hAnsi="Arial" w:cs="Arial"/>
          <w:sz w:val="20"/>
          <w:szCs w:val="20"/>
          <w:lang w:val="bg-BG"/>
        </w:rPr>
      </w:pPr>
    </w:p>
    <w:p w:rsidR="004F7EF0" w:rsidRPr="00686458" w:rsidRDefault="004F7EF0" w:rsidP="004F7EF0">
      <w:pPr>
        <w:pStyle w:val="ListParagraph"/>
        <w:spacing w:after="120"/>
        <w:ind w:left="0"/>
        <w:contextualSpacing w:val="0"/>
        <w:jc w:val="both"/>
        <w:rPr>
          <w:rFonts w:ascii="Arial" w:hAnsi="Arial" w:cs="Arial"/>
          <w:sz w:val="20"/>
          <w:szCs w:val="20"/>
          <w:lang w:val="bg-BG"/>
        </w:rPr>
      </w:pPr>
      <w:r w:rsidRPr="00686458">
        <w:rPr>
          <w:rFonts w:ascii="Arial" w:hAnsi="Arial" w:cs="Arial"/>
          <w:sz w:val="20"/>
          <w:szCs w:val="20"/>
          <w:lang w:val="bg-BG"/>
        </w:rPr>
        <w:t xml:space="preserve">Сред останалите проблеми пред финансирането в сектор Земеделие са: </w:t>
      </w:r>
    </w:p>
    <w:p w:rsidR="004F7EF0" w:rsidRPr="00686458" w:rsidRDefault="004F7EF0" w:rsidP="004F7EF0">
      <w:pPr>
        <w:pStyle w:val="ListParagraph"/>
        <w:numPr>
          <w:ilvl w:val="0"/>
          <w:numId w:val="2"/>
        </w:numPr>
        <w:spacing w:after="120"/>
        <w:contextualSpacing w:val="0"/>
        <w:jc w:val="both"/>
        <w:rPr>
          <w:rFonts w:ascii="Arial" w:hAnsi="Arial" w:cs="Arial"/>
          <w:sz w:val="20"/>
          <w:szCs w:val="20"/>
          <w:lang w:val="bg-BG"/>
        </w:rPr>
      </w:pPr>
      <w:r w:rsidRPr="00686458">
        <w:rPr>
          <w:rFonts w:ascii="Arial" w:hAnsi="Arial" w:cs="Arial"/>
          <w:sz w:val="20"/>
          <w:szCs w:val="20"/>
          <w:lang w:val="bg-BG"/>
        </w:rPr>
        <w:t>изчерпване на средствата за безвъзмездно финансиране по част от мерките на програмата;</w:t>
      </w:r>
    </w:p>
    <w:p w:rsidR="004F7EF0" w:rsidRPr="00686458" w:rsidRDefault="004F7EF0" w:rsidP="004F7EF0">
      <w:pPr>
        <w:pStyle w:val="ListParagraph"/>
        <w:numPr>
          <w:ilvl w:val="0"/>
          <w:numId w:val="2"/>
        </w:numPr>
        <w:spacing w:after="120"/>
        <w:contextualSpacing w:val="0"/>
        <w:jc w:val="both"/>
        <w:rPr>
          <w:rFonts w:ascii="Arial" w:hAnsi="Arial" w:cs="Arial"/>
          <w:sz w:val="20"/>
          <w:szCs w:val="20"/>
          <w:lang w:val="bg-BG"/>
        </w:rPr>
      </w:pPr>
      <w:r w:rsidRPr="00686458">
        <w:rPr>
          <w:rFonts w:ascii="Arial" w:hAnsi="Arial" w:cs="Arial"/>
          <w:sz w:val="20"/>
          <w:szCs w:val="20"/>
          <w:lang w:val="bg-BG"/>
        </w:rPr>
        <w:t>високи нива на лихвените проценти по кредитите, отпускани от кредитните и финансовите институции за кредитополучатели от сектора;</w:t>
      </w:r>
    </w:p>
    <w:p w:rsidR="004F7EF0" w:rsidRPr="00686458" w:rsidRDefault="004F7EF0" w:rsidP="004F7EF0">
      <w:pPr>
        <w:pStyle w:val="ListParagraph"/>
        <w:numPr>
          <w:ilvl w:val="0"/>
          <w:numId w:val="2"/>
        </w:numPr>
        <w:spacing w:after="120"/>
        <w:contextualSpacing w:val="0"/>
        <w:jc w:val="both"/>
        <w:rPr>
          <w:rFonts w:ascii="Arial" w:hAnsi="Arial" w:cs="Arial"/>
          <w:sz w:val="20"/>
          <w:szCs w:val="20"/>
          <w:lang w:val="bg-BG"/>
        </w:rPr>
      </w:pPr>
      <w:r w:rsidRPr="00686458">
        <w:rPr>
          <w:rFonts w:ascii="Arial" w:hAnsi="Arial" w:cs="Arial"/>
          <w:sz w:val="20"/>
          <w:szCs w:val="20"/>
          <w:lang w:val="bg-BG"/>
        </w:rPr>
        <w:t>липса на предходен опит в прилагането на ФИ, освен гаранционната схема по НГФ;</w:t>
      </w:r>
    </w:p>
    <w:p w:rsidR="004F7EF0" w:rsidRPr="00686458" w:rsidRDefault="004F7EF0" w:rsidP="004F7EF0">
      <w:pPr>
        <w:pStyle w:val="ListParagraph"/>
        <w:numPr>
          <w:ilvl w:val="0"/>
          <w:numId w:val="2"/>
        </w:numPr>
        <w:spacing w:after="120"/>
        <w:contextualSpacing w:val="0"/>
        <w:jc w:val="both"/>
        <w:rPr>
          <w:rFonts w:ascii="Arial" w:hAnsi="Arial" w:cs="Arial"/>
          <w:sz w:val="20"/>
          <w:szCs w:val="20"/>
          <w:lang w:val="bg-BG"/>
        </w:rPr>
      </w:pPr>
      <w:r w:rsidRPr="00686458">
        <w:rPr>
          <w:rFonts w:ascii="Arial" w:hAnsi="Arial" w:cs="Arial"/>
          <w:sz w:val="20"/>
          <w:szCs w:val="20"/>
          <w:lang w:val="bg-BG"/>
        </w:rPr>
        <w:t xml:space="preserve">липсата на развити финансови инструменти, подходящи за спецификата на земеделските стопанства, </w:t>
      </w:r>
    </w:p>
    <w:p w:rsidR="004F7EF0" w:rsidRPr="00686458" w:rsidRDefault="004F7EF0" w:rsidP="004F7EF0">
      <w:pPr>
        <w:pStyle w:val="ListParagraph"/>
        <w:numPr>
          <w:ilvl w:val="0"/>
          <w:numId w:val="2"/>
        </w:numPr>
        <w:spacing w:after="120"/>
        <w:contextualSpacing w:val="0"/>
        <w:jc w:val="both"/>
        <w:rPr>
          <w:rFonts w:ascii="Arial" w:hAnsi="Arial" w:cs="Arial"/>
          <w:sz w:val="20"/>
          <w:szCs w:val="20"/>
          <w:lang w:val="bg-BG"/>
        </w:rPr>
      </w:pPr>
      <w:r w:rsidRPr="00686458">
        <w:rPr>
          <w:rFonts w:ascii="Arial" w:hAnsi="Arial" w:cs="Arial"/>
          <w:sz w:val="20"/>
          <w:szCs w:val="20"/>
          <w:lang w:val="bg-BG"/>
        </w:rPr>
        <w:lastRenderedPageBreak/>
        <w:t>високи изисквания на банките за обезпечения и др.</w:t>
      </w:r>
      <w:r w:rsidRPr="00686458">
        <w:rPr>
          <w:rFonts w:ascii="Arial" w:hAnsi="Arial" w:cs="Arial"/>
          <w:lang w:val="bg-BG"/>
        </w:rPr>
        <w:t xml:space="preserve"> </w:t>
      </w:r>
    </w:p>
    <w:p w:rsidR="004F7EF0" w:rsidRPr="00BC7462" w:rsidRDefault="004F7EF0" w:rsidP="004F7EF0">
      <w:pPr>
        <w:pStyle w:val="ListParagraph"/>
        <w:spacing w:after="120"/>
        <w:ind w:left="0"/>
        <w:contextualSpacing w:val="0"/>
        <w:jc w:val="both"/>
        <w:rPr>
          <w:rFonts w:ascii="Arial" w:hAnsi="Arial" w:cs="Arial"/>
          <w:sz w:val="20"/>
          <w:szCs w:val="20"/>
          <w:lang w:val="bg-BG"/>
        </w:rPr>
      </w:pPr>
      <w:r w:rsidRPr="00686458">
        <w:rPr>
          <w:rFonts w:ascii="Arial" w:hAnsi="Arial" w:cs="Arial"/>
          <w:sz w:val="20"/>
          <w:szCs w:val="20"/>
          <w:lang w:val="bg-BG"/>
        </w:rPr>
        <w:t xml:space="preserve">Посоченият в предварителната оценка недостиг на финансиране по ПРСР идентифицира необходимостта от прилагане на ФИ самостоятелно и в допълнение на предоставена безвъзмездна помощ по ПРСР с оглед задоволяване на потенциалното търсене на финансиране. </w:t>
      </w:r>
    </w:p>
    <w:p w:rsidR="004F7EF0" w:rsidRPr="00BC7462" w:rsidRDefault="004F7EF0" w:rsidP="004F7EF0">
      <w:pPr>
        <w:pStyle w:val="ListParagraph"/>
        <w:spacing w:after="120"/>
        <w:ind w:left="0"/>
        <w:contextualSpacing w:val="0"/>
        <w:jc w:val="both"/>
        <w:rPr>
          <w:rFonts w:ascii="Arial" w:hAnsi="Arial" w:cs="Arial"/>
          <w:sz w:val="20"/>
          <w:szCs w:val="20"/>
          <w:lang w:val="bg-BG"/>
        </w:rPr>
      </w:pPr>
    </w:p>
    <w:p w:rsidR="004F7EF0" w:rsidRPr="00686458" w:rsidRDefault="00CB0726" w:rsidP="00CB0726">
      <w:pPr>
        <w:spacing w:after="120"/>
        <w:jc w:val="center"/>
        <w:rPr>
          <w:rFonts w:ascii="Arial" w:hAnsi="Arial" w:cs="Arial"/>
          <w:b/>
          <w:color w:val="4F81BD" w:themeColor="accent1"/>
          <w:sz w:val="20"/>
          <w:szCs w:val="20"/>
        </w:rPr>
      </w:pPr>
      <w:r w:rsidRPr="00686458">
        <w:rPr>
          <w:rFonts w:ascii="Arial" w:hAnsi="Arial" w:cs="Arial"/>
          <w:b/>
          <w:color w:val="4F81BD" w:themeColor="accent1"/>
          <w:sz w:val="20"/>
          <w:szCs w:val="20"/>
        </w:rPr>
        <w:t>Предложен финансов инструмент в предварителната оценка</w:t>
      </w:r>
    </w:p>
    <w:p w:rsidR="004F7EF0" w:rsidRPr="00686458" w:rsidRDefault="004F7EF0" w:rsidP="003C7634">
      <w:pPr>
        <w:spacing w:after="120"/>
        <w:jc w:val="both"/>
        <w:rPr>
          <w:rFonts w:ascii="Arial" w:hAnsi="Arial" w:cs="Arial"/>
          <w:sz w:val="20"/>
          <w:szCs w:val="20"/>
        </w:rPr>
      </w:pPr>
      <w:r w:rsidRPr="00686458">
        <w:rPr>
          <w:rFonts w:ascii="Arial" w:hAnsi="Arial" w:cs="Arial"/>
          <w:sz w:val="20"/>
          <w:szCs w:val="20"/>
        </w:rPr>
        <w:t xml:space="preserve">На базата на направената предварителна оценка, ФИ биха могли да се прилагат: </w:t>
      </w:r>
    </w:p>
    <w:p w:rsidR="004F7EF0" w:rsidRPr="00686458" w:rsidRDefault="004F7EF0" w:rsidP="003C7634">
      <w:pPr>
        <w:pStyle w:val="ListParagraph"/>
        <w:numPr>
          <w:ilvl w:val="0"/>
          <w:numId w:val="3"/>
        </w:numPr>
        <w:spacing w:after="120"/>
        <w:jc w:val="both"/>
        <w:rPr>
          <w:rFonts w:ascii="Arial" w:hAnsi="Arial" w:cs="Arial"/>
          <w:sz w:val="20"/>
          <w:szCs w:val="20"/>
          <w:lang w:val="bg-BG"/>
        </w:rPr>
      </w:pPr>
      <w:r w:rsidRPr="00686458">
        <w:rPr>
          <w:rFonts w:ascii="Arial" w:hAnsi="Arial" w:cs="Arial"/>
          <w:sz w:val="20"/>
          <w:szCs w:val="20"/>
          <w:lang w:val="bg-BG"/>
        </w:rPr>
        <w:t xml:space="preserve">в допълнение към безвъзмездната помощ, отпускана по проекти за земеделски и неземеделски инвестиции в селски райони, включително инвестиции, финансирани по програма ЛИДЕР </w:t>
      </w:r>
    </w:p>
    <w:p w:rsidR="004F7EF0" w:rsidRPr="00686458" w:rsidRDefault="004F7EF0" w:rsidP="003C7634">
      <w:pPr>
        <w:spacing w:after="120"/>
        <w:ind w:left="360"/>
        <w:jc w:val="both"/>
        <w:rPr>
          <w:rFonts w:ascii="Arial" w:hAnsi="Arial" w:cs="Arial"/>
          <w:sz w:val="20"/>
          <w:szCs w:val="20"/>
        </w:rPr>
      </w:pPr>
      <w:r w:rsidRPr="00686458">
        <w:rPr>
          <w:rFonts w:ascii="Arial" w:hAnsi="Arial" w:cs="Arial"/>
          <w:sz w:val="20"/>
          <w:szCs w:val="20"/>
        </w:rPr>
        <w:t xml:space="preserve">или </w:t>
      </w:r>
    </w:p>
    <w:p w:rsidR="004F7EF0" w:rsidRPr="00686458" w:rsidRDefault="004F7EF0" w:rsidP="003C7634">
      <w:pPr>
        <w:pStyle w:val="Default"/>
        <w:ind w:left="360"/>
        <w:jc w:val="both"/>
        <w:rPr>
          <w:rFonts w:ascii="Arial" w:hAnsi="Arial" w:cs="Arial"/>
          <w:lang w:val="bg-BG"/>
        </w:rPr>
      </w:pPr>
      <w:r w:rsidRPr="00686458">
        <w:rPr>
          <w:rFonts w:ascii="Arial" w:hAnsi="Arial" w:cs="Arial"/>
          <w:sz w:val="20"/>
          <w:szCs w:val="20"/>
          <w:lang w:val="bg-BG"/>
        </w:rPr>
        <w:t>2) като самостоятелен кредит със споделен риск по подмерки 4.1, 4.2, 6.4 от ПРСР.</w:t>
      </w:r>
      <w:r w:rsidRPr="00686458">
        <w:rPr>
          <w:rFonts w:ascii="Arial" w:hAnsi="Arial" w:cs="Arial"/>
          <w:lang w:val="bg-BG"/>
        </w:rPr>
        <w:t xml:space="preserve"> </w:t>
      </w:r>
    </w:p>
    <w:p w:rsidR="008F7DE9" w:rsidRPr="00BC7462" w:rsidRDefault="008F7DE9" w:rsidP="003C7634">
      <w:pPr>
        <w:jc w:val="both"/>
        <w:rPr>
          <w:rFonts w:ascii="Times New Roman" w:hAnsi="Times New Roman" w:cs="Times New Roman"/>
          <w:b/>
        </w:rPr>
      </w:pPr>
    </w:p>
    <w:p w:rsidR="004F7EF0" w:rsidRPr="00686458" w:rsidRDefault="004F7EF0" w:rsidP="003C7634">
      <w:pPr>
        <w:pStyle w:val="Default"/>
        <w:ind w:firstLine="360"/>
        <w:jc w:val="both"/>
        <w:rPr>
          <w:rFonts w:ascii="Arial" w:hAnsi="Arial" w:cs="Arial"/>
          <w:sz w:val="20"/>
          <w:szCs w:val="20"/>
          <w:lang w:val="bg-BG"/>
        </w:rPr>
      </w:pPr>
      <w:r w:rsidRPr="00686458">
        <w:rPr>
          <w:rFonts w:ascii="Arial" w:hAnsi="Arial" w:cs="Arial"/>
          <w:sz w:val="20"/>
          <w:szCs w:val="20"/>
          <w:lang w:val="bg-BG"/>
        </w:rPr>
        <w:t>Отпусканите кредити по т.1 ще подпомогнат реализирането на одобрени проекти по ПРСР, като ще увеличат и интереса към програмата с оглед възможностите за финансиране. Кредитите по т.2 са алтернатива на помощта под формата на БФП, като същевременно косвено се намалява интензитета на помощта ползвана под формата на грант.</w:t>
      </w:r>
    </w:p>
    <w:p w:rsidR="004F7EF0" w:rsidRPr="00686458" w:rsidRDefault="004F7EF0" w:rsidP="003C7634">
      <w:pPr>
        <w:spacing w:after="120"/>
        <w:ind w:firstLine="360"/>
        <w:jc w:val="both"/>
        <w:rPr>
          <w:rFonts w:ascii="Arial" w:hAnsi="Arial" w:cs="Arial"/>
          <w:sz w:val="20"/>
          <w:szCs w:val="20"/>
        </w:rPr>
      </w:pPr>
      <w:r w:rsidRPr="00686458">
        <w:rPr>
          <w:rFonts w:ascii="Arial" w:hAnsi="Arial" w:cs="Arial"/>
          <w:sz w:val="20"/>
          <w:szCs w:val="20"/>
        </w:rPr>
        <w:t xml:space="preserve">Съфинансирането с ресурс по програмата е в размер на 50% от отпускания кредит при първия  финансов продукт за съфинансиране по проекти, подкрепени с БФП и в размер на 70% за финансовия продукт за самостоятелните заеми. </w:t>
      </w:r>
    </w:p>
    <w:p w:rsidR="004F7EF0" w:rsidRPr="00686458" w:rsidRDefault="004F7EF0" w:rsidP="003C7634">
      <w:pPr>
        <w:ind w:firstLine="708"/>
        <w:jc w:val="both"/>
        <w:rPr>
          <w:rFonts w:ascii="Arial" w:hAnsi="Arial" w:cs="Arial"/>
          <w:sz w:val="20"/>
          <w:szCs w:val="20"/>
        </w:rPr>
      </w:pPr>
      <w:r w:rsidRPr="00686458">
        <w:rPr>
          <w:rFonts w:ascii="Arial" w:hAnsi="Arial" w:cs="Arial"/>
          <w:sz w:val="20"/>
          <w:szCs w:val="20"/>
        </w:rPr>
        <w:t>За частта от кредитите, финансирана със средства от ПРСР се прилагат лихвени нива от 0 % към крайните получатели, с което значително се намаляват лихвените разходи. Допълнителен стимул за намаляване на лихвата по съфинансирането, предоставено от финансовите посредници е и споделянето на риска по кредитите. По-високият процент на средствата от ПРСР във финансовия продукт за самостоятелните заеми цели да направи инструмента по-атрактивен и да осигури по-голяма подкрепа за предприятия, които не ползват безвъзмездно финансиране по ПРСР. Средствата от погасени експозиции могат да се предоставят повторно в рамките на периода на инвестиране</w:t>
      </w:r>
      <w:r w:rsidR="00CB0726" w:rsidRPr="00686458">
        <w:rPr>
          <w:rFonts w:ascii="Arial" w:hAnsi="Arial" w:cs="Arial"/>
          <w:sz w:val="20"/>
          <w:szCs w:val="20"/>
        </w:rPr>
        <w:t>.</w:t>
      </w:r>
    </w:p>
    <w:p w:rsidR="00CB0726" w:rsidRPr="00686458" w:rsidRDefault="00CB0726" w:rsidP="003C7634">
      <w:pPr>
        <w:spacing w:after="120"/>
        <w:ind w:firstLine="708"/>
        <w:jc w:val="both"/>
        <w:rPr>
          <w:rFonts w:ascii="Arial" w:eastAsia="Times New Roman" w:hAnsi="Arial" w:cs="Arial"/>
          <w:color w:val="000000"/>
          <w:sz w:val="20"/>
          <w:szCs w:val="20"/>
          <w:lang w:eastAsia="zh-CN"/>
        </w:rPr>
      </w:pPr>
      <w:r w:rsidRPr="00686458">
        <w:rPr>
          <w:rFonts w:ascii="Arial" w:eastAsia="Times New Roman" w:hAnsi="Arial" w:cs="Arial"/>
          <w:color w:val="000000"/>
          <w:sz w:val="20"/>
          <w:szCs w:val="20"/>
          <w:lang w:eastAsia="zh-CN"/>
        </w:rPr>
        <w:t xml:space="preserve">При структуриране на ФИ по ПРСР и параметрите на финансовите продукти </w:t>
      </w:r>
      <w:r w:rsidR="00BA0A19" w:rsidRPr="00686458">
        <w:rPr>
          <w:rFonts w:ascii="Arial" w:eastAsia="Times New Roman" w:hAnsi="Arial" w:cs="Arial"/>
          <w:color w:val="000000"/>
          <w:sz w:val="20"/>
          <w:szCs w:val="20"/>
          <w:lang w:eastAsia="zh-CN"/>
        </w:rPr>
        <w:t xml:space="preserve">ще </w:t>
      </w:r>
      <w:r w:rsidRPr="00686458">
        <w:rPr>
          <w:rFonts w:ascii="Arial" w:eastAsia="Times New Roman" w:hAnsi="Arial" w:cs="Arial"/>
          <w:color w:val="000000"/>
          <w:sz w:val="20"/>
          <w:szCs w:val="20"/>
          <w:lang w:eastAsia="zh-CN"/>
        </w:rPr>
        <w:t>се отчитат следните условия, като наред с това се осигурява възможност за допълнителна гъвкавост при прилагане на финансовите продукти:</w:t>
      </w:r>
    </w:p>
    <w:p w:rsidR="00CB0726" w:rsidRPr="00686458" w:rsidRDefault="00CB0726" w:rsidP="003C7634">
      <w:pPr>
        <w:spacing w:after="120"/>
        <w:jc w:val="both"/>
        <w:rPr>
          <w:rFonts w:ascii="Arial" w:eastAsia="Times New Roman" w:hAnsi="Arial" w:cs="Arial"/>
          <w:color w:val="000000"/>
          <w:sz w:val="20"/>
          <w:szCs w:val="20"/>
          <w:lang w:eastAsia="zh-CN"/>
        </w:rPr>
      </w:pPr>
      <w:r w:rsidRPr="00686458">
        <w:rPr>
          <w:rFonts w:ascii="Arial" w:eastAsia="Times New Roman" w:hAnsi="Arial" w:cs="Arial"/>
          <w:color w:val="000000"/>
          <w:sz w:val="20"/>
          <w:szCs w:val="20"/>
          <w:lang w:eastAsia="zh-CN"/>
        </w:rPr>
        <w:t xml:space="preserve">(А) лостов ефект (ливъридж); </w:t>
      </w:r>
    </w:p>
    <w:p w:rsidR="00CB0726" w:rsidRPr="00686458" w:rsidRDefault="00CB0726" w:rsidP="003C7634">
      <w:pPr>
        <w:spacing w:after="120"/>
        <w:jc w:val="both"/>
        <w:rPr>
          <w:rFonts w:ascii="Arial" w:eastAsia="Times New Roman" w:hAnsi="Arial" w:cs="Arial"/>
          <w:color w:val="000000"/>
          <w:sz w:val="20"/>
          <w:szCs w:val="20"/>
          <w:lang w:eastAsia="zh-CN"/>
        </w:rPr>
      </w:pPr>
      <w:r w:rsidRPr="00686458">
        <w:rPr>
          <w:rFonts w:ascii="Arial" w:eastAsia="Times New Roman" w:hAnsi="Arial" w:cs="Arial"/>
          <w:color w:val="000000"/>
          <w:sz w:val="20"/>
          <w:szCs w:val="20"/>
          <w:lang w:eastAsia="zh-CN"/>
        </w:rPr>
        <w:t>(Б) револвиране/рециклиране на средствата;</w:t>
      </w:r>
    </w:p>
    <w:p w:rsidR="00CB0726" w:rsidRPr="00686458" w:rsidRDefault="00CB0726" w:rsidP="003C7634">
      <w:pPr>
        <w:spacing w:after="120"/>
        <w:jc w:val="both"/>
        <w:rPr>
          <w:rFonts w:ascii="Arial" w:eastAsia="Times New Roman" w:hAnsi="Arial" w:cs="Arial"/>
          <w:color w:val="000000"/>
          <w:sz w:val="20"/>
          <w:szCs w:val="20"/>
          <w:lang w:eastAsia="zh-CN"/>
        </w:rPr>
      </w:pPr>
      <w:r w:rsidRPr="00686458">
        <w:rPr>
          <w:rFonts w:ascii="Arial" w:eastAsia="Times New Roman" w:hAnsi="Arial" w:cs="Arial"/>
          <w:color w:val="000000"/>
          <w:sz w:val="20"/>
          <w:szCs w:val="20"/>
          <w:lang w:eastAsia="zh-CN"/>
        </w:rPr>
        <w:t>(В) подход на споделяне на риска за финансиране на инвестиции, които се очаква да бъдат финансово жизнеспособни, но не могат да генерират достатъчно финансиране от пазарни източници;</w:t>
      </w:r>
    </w:p>
    <w:p w:rsidR="00CB0726" w:rsidRPr="00686458" w:rsidRDefault="00CB0726" w:rsidP="003C7634">
      <w:pPr>
        <w:spacing w:after="120"/>
        <w:jc w:val="both"/>
        <w:rPr>
          <w:rFonts w:ascii="Arial" w:eastAsia="Times New Roman" w:hAnsi="Arial" w:cs="Arial"/>
          <w:color w:val="000000"/>
          <w:sz w:val="20"/>
          <w:szCs w:val="20"/>
          <w:lang w:eastAsia="zh-CN"/>
        </w:rPr>
      </w:pPr>
      <w:r w:rsidRPr="00686458">
        <w:rPr>
          <w:rFonts w:ascii="Arial" w:eastAsia="Times New Roman" w:hAnsi="Arial" w:cs="Arial"/>
          <w:color w:val="000000"/>
          <w:sz w:val="20"/>
          <w:szCs w:val="20"/>
          <w:lang w:eastAsia="zh-CN"/>
        </w:rPr>
        <w:t>(Г) увеличаване на гъвкавостта и намаляване на административната тежест върху КП;</w:t>
      </w:r>
    </w:p>
    <w:p w:rsidR="00CB0726" w:rsidRPr="00686458" w:rsidRDefault="00CB0726" w:rsidP="003C7634">
      <w:pPr>
        <w:jc w:val="both"/>
        <w:rPr>
          <w:rFonts w:ascii="Times New Roman" w:hAnsi="Times New Roman" w:cs="Times New Roman"/>
          <w:b/>
        </w:rPr>
      </w:pPr>
      <w:r w:rsidRPr="00686458">
        <w:rPr>
          <w:rFonts w:ascii="Arial" w:eastAsia="Times New Roman" w:hAnsi="Arial" w:cs="Arial"/>
          <w:color w:val="000000"/>
          <w:sz w:val="20"/>
          <w:szCs w:val="20"/>
          <w:lang w:eastAsia="zh-CN"/>
        </w:rPr>
        <w:t>(Д) предоставяне на финансиране за оборотни средства на крайни получатели (до 30% от общата инвестиция).</w:t>
      </w:r>
    </w:p>
    <w:p w:rsidR="003F07C2" w:rsidRDefault="003F07C2" w:rsidP="008F7DE9">
      <w:pPr>
        <w:jc w:val="center"/>
        <w:rPr>
          <w:rFonts w:ascii="Arial" w:hAnsi="Arial" w:cs="Arial"/>
          <w:b/>
          <w:color w:val="4F81BD" w:themeColor="accent1"/>
          <w:sz w:val="20"/>
          <w:szCs w:val="20"/>
        </w:rPr>
      </w:pPr>
    </w:p>
    <w:p w:rsidR="003C7634" w:rsidRDefault="003C7634" w:rsidP="008F7DE9">
      <w:pPr>
        <w:jc w:val="center"/>
        <w:rPr>
          <w:rFonts w:ascii="Arial" w:hAnsi="Arial" w:cs="Arial"/>
          <w:b/>
          <w:color w:val="4F81BD" w:themeColor="accent1"/>
          <w:sz w:val="20"/>
          <w:szCs w:val="20"/>
        </w:rPr>
      </w:pPr>
    </w:p>
    <w:p w:rsidR="003C7634" w:rsidRDefault="003C7634" w:rsidP="008F7DE9">
      <w:pPr>
        <w:jc w:val="center"/>
        <w:rPr>
          <w:rFonts w:ascii="Arial" w:hAnsi="Arial" w:cs="Arial"/>
          <w:b/>
          <w:color w:val="4F81BD" w:themeColor="accent1"/>
          <w:sz w:val="20"/>
          <w:szCs w:val="20"/>
        </w:rPr>
      </w:pPr>
    </w:p>
    <w:p w:rsidR="008F7DE9" w:rsidRPr="00686458" w:rsidRDefault="00BA0A19" w:rsidP="008F7DE9">
      <w:pPr>
        <w:jc w:val="center"/>
        <w:rPr>
          <w:rFonts w:ascii="Arial" w:hAnsi="Arial" w:cs="Arial"/>
          <w:b/>
          <w:color w:val="4F81BD" w:themeColor="accent1"/>
          <w:sz w:val="20"/>
          <w:szCs w:val="20"/>
        </w:rPr>
      </w:pPr>
      <w:r w:rsidRPr="00686458">
        <w:rPr>
          <w:rFonts w:ascii="Arial" w:hAnsi="Arial" w:cs="Arial"/>
          <w:b/>
          <w:color w:val="4F81BD" w:themeColor="accent1"/>
          <w:sz w:val="20"/>
          <w:szCs w:val="20"/>
        </w:rPr>
        <w:lastRenderedPageBreak/>
        <w:t xml:space="preserve">Фонд мениджър на финансовия инструмент </w:t>
      </w:r>
    </w:p>
    <w:p w:rsidR="00BA0A19" w:rsidRPr="00686458" w:rsidRDefault="00BA0A19" w:rsidP="00BC7462">
      <w:pPr>
        <w:pStyle w:val="ListParagraph"/>
        <w:spacing w:after="120"/>
        <w:ind w:left="0" w:firstLine="708"/>
        <w:contextualSpacing w:val="0"/>
        <w:jc w:val="both"/>
        <w:rPr>
          <w:rFonts w:ascii="Arial" w:hAnsi="Arial" w:cs="Arial"/>
          <w:sz w:val="20"/>
          <w:szCs w:val="20"/>
          <w:lang w:val="bg-BG"/>
        </w:rPr>
      </w:pPr>
      <w:r w:rsidRPr="00BC7462">
        <w:rPr>
          <w:rFonts w:ascii="Arial" w:hAnsi="Arial" w:cs="Arial"/>
          <w:sz w:val="20"/>
          <w:szCs w:val="20"/>
          <w:lang w:val="bg-BG"/>
        </w:rPr>
        <w:t>В България съгласно чл. 5 (1) от Закона за управление на средствата по европейски структурни и инвестиционни фондове „Финансовите инструменти, финансирани със средства от ЕСИФ, с изключение на тези по чл. 39 от Регламент (ЕС) № 1303/2013, се изпълняват чрез Фонд на фондовете“.</w:t>
      </w:r>
    </w:p>
    <w:p w:rsidR="00BA0A19" w:rsidRPr="00686458" w:rsidRDefault="00BA0A19" w:rsidP="00BC7462">
      <w:pPr>
        <w:pStyle w:val="ListParagraph"/>
        <w:spacing w:after="120"/>
        <w:ind w:left="0" w:firstLine="708"/>
        <w:contextualSpacing w:val="0"/>
        <w:jc w:val="both"/>
        <w:rPr>
          <w:rFonts w:ascii="Arial" w:hAnsi="Arial" w:cs="Arial"/>
          <w:sz w:val="20"/>
          <w:szCs w:val="20"/>
          <w:lang w:val="bg-BG"/>
        </w:rPr>
      </w:pPr>
      <w:r w:rsidRPr="00686458">
        <w:rPr>
          <w:rFonts w:ascii="Arial" w:hAnsi="Arial" w:cs="Arial"/>
          <w:sz w:val="20"/>
          <w:szCs w:val="20"/>
          <w:lang w:val="bg-BG"/>
        </w:rPr>
        <w:t>С оглед разширеното прилагане на подкрепа, чрез финансови инструменти в периода 2014-2020 г., българското правителство взе решение да прилага ФИ чрез Фонд на фондове, като "Фонд мениджър на финансовите инструменти в България" ЕАД (ФМФИБ) е дружеството, което е отговорно за прилагането и изпълнението на ФИ от името на УО на ОП, в съответствие с изискванията на чл. 38 (4) б. „б“,  iii) от Регламент (ЕС) № 1303/2013</w:t>
      </w:r>
      <w:r w:rsidRPr="00686458">
        <w:rPr>
          <w:rStyle w:val="FootnoteReference"/>
          <w:rFonts w:ascii="Arial" w:hAnsi="Arial" w:cs="Arial"/>
          <w:sz w:val="20"/>
          <w:szCs w:val="20"/>
          <w:lang w:val="bg-BG"/>
        </w:rPr>
        <w:footnoteReference w:id="2"/>
      </w:r>
      <w:r w:rsidRPr="00686458">
        <w:rPr>
          <w:rFonts w:ascii="Arial" w:hAnsi="Arial" w:cs="Arial"/>
          <w:sz w:val="20"/>
          <w:szCs w:val="20"/>
          <w:lang w:val="bg-BG"/>
        </w:rPr>
        <w:t>. Предвидените по ПРСР 2014-2020 ФИ ще бъдат структурирани на национално ниво и ще бъдат управлявани от ФМФИБ в съответствие с условията на Финансовото споразумение, което ще бъде подписано между МЗХГ и "Фонд мениджър на финансовите инструменти в България" ЕАД (ФМФИБ)</w:t>
      </w:r>
      <w:r w:rsidRPr="00686458">
        <w:rPr>
          <w:rStyle w:val="FootnoteReference"/>
          <w:rFonts w:ascii="Arial" w:hAnsi="Arial" w:cs="Arial"/>
          <w:sz w:val="20"/>
          <w:szCs w:val="20"/>
          <w:lang w:val="bg-BG"/>
        </w:rPr>
        <w:footnoteReference w:id="3"/>
      </w:r>
    </w:p>
    <w:p w:rsidR="00686458" w:rsidRPr="00686458" w:rsidRDefault="00686458" w:rsidP="00BA0A19">
      <w:pPr>
        <w:pStyle w:val="ListParagraph"/>
        <w:spacing w:after="120"/>
        <w:ind w:left="0"/>
        <w:contextualSpacing w:val="0"/>
        <w:jc w:val="both"/>
        <w:rPr>
          <w:rFonts w:ascii="Arial" w:hAnsi="Arial" w:cs="Arial"/>
          <w:sz w:val="20"/>
          <w:szCs w:val="20"/>
          <w:lang w:val="bg-BG"/>
        </w:rPr>
      </w:pPr>
    </w:p>
    <w:p w:rsidR="00686458" w:rsidRPr="00686458" w:rsidRDefault="00686458" w:rsidP="00686458">
      <w:pPr>
        <w:pStyle w:val="Heading3"/>
        <w:spacing w:after="120"/>
        <w:ind w:left="714"/>
        <w:jc w:val="center"/>
        <w:rPr>
          <w:rFonts w:ascii="Arial" w:hAnsi="Arial" w:cs="Arial"/>
          <w:b/>
          <w:color w:val="4F81BD" w:themeColor="accent1"/>
          <w:sz w:val="20"/>
          <w:szCs w:val="20"/>
          <w:lang w:val="bg-BG"/>
        </w:rPr>
      </w:pPr>
      <w:bookmarkStart w:id="5" w:name="_Toc536774127"/>
      <w:r w:rsidRPr="00686458">
        <w:rPr>
          <w:rFonts w:ascii="Arial" w:hAnsi="Arial" w:cs="Arial"/>
          <w:b/>
          <w:color w:val="4F81BD" w:themeColor="accent1"/>
          <w:sz w:val="20"/>
          <w:szCs w:val="20"/>
          <w:lang w:val="bg-BG"/>
        </w:rPr>
        <w:t>Финансови продукти</w:t>
      </w:r>
      <w:bookmarkEnd w:id="5"/>
    </w:p>
    <w:p w:rsidR="00686458" w:rsidRPr="00686458" w:rsidRDefault="00686458" w:rsidP="003F07C2">
      <w:pPr>
        <w:spacing w:after="120"/>
        <w:ind w:firstLine="567"/>
        <w:jc w:val="both"/>
        <w:rPr>
          <w:rFonts w:ascii="Arial" w:hAnsi="Arial" w:cs="Arial"/>
          <w:sz w:val="20"/>
          <w:szCs w:val="20"/>
        </w:rPr>
      </w:pPr>
      <w:r w:rsidRPr="00686458">
        <w:rPr>
          <w:rFonts w:ascii="Arial" w:hAnsi="Arial" w:cs="Arial"/>
          <w:sz w:val="20"/>
          <w:szCs w:val="20"/>
        </w:rPr>
        <w:t>Изборът на финансов продукт е осъществен въз основа на наблюдаваните неоптимални инвестиционни ситуации и инвестиционните нужди, в рамките на Предварителната оценка за ФИ по ПРСР 2014-2020 от м. май 2018 г. Като най-подходящ финансов продукт, с оглед спецификата на сектора, Предварителната оценка посочва финансов инструмент, включващ финансиране чрез заем с поделяне на риска с две възможности:</w:t>
      </w:r>
    </w:p>
    <w:p w:rsidR="00686458" w:rsidRPr="00686458" w:rsidRDefault="00686458" w:rsidP="00686458">
      <w:pPr>
        <w:pStyle w:val="ListParagraph"/>
        <w:numPr>
          <w:ilvl w:val="2"/>
          <w:numId w:val="7"/>
        </w:numPr>
        <w:spacing w:before="120" w:after="120"/>
        <w:ind w:left="851" w:hanging="284"/>
        <w:contextualSpacing w:val="0"/>
        <w:jc w:val="both"/>
        <w:rPr>
          <w:rFonts w:ascii="Arial" w:hAnsi="Arial" w:cs="Arial"/>
          <w:sz w:val="20"/>
          <w:szCs w:val="20"/>
          <w:lang w:val="bg-BG"/>
        </w:rPr>
      </w:pPr>
      <w:r w:rsidRPr="00686458">
        <w:rPr>
          <w:rFonts w:ascii="Arial" w:hAnsi="Arial" w:cs="Arial"/>
          <w:sz w:val="20"/>
          <w:szCs w:val="20"/>
          <w:lang w:val="bg-BG"/>
        </w:rPr>
        <w:t xml:space="preserve">Кредити за съфинансиране на проекти за земеделски и неземеделски инвестиции в селски райони, включително инвестиции, финансирани по програма ЛИДЕР. Покритието с ресурс от ПРСР е </w:t>
      </w:r>
      <w:r w:rsidRPr="00686458">
        <w:rPr>
          <w:rFonts w:ascii="Arial" w:hAnsi="Arial" w:cs="Arial"/>
          <w:b/>
          <w:bCs/>
          <w:sz w:val="20"/>
          <w:szCs w:val="20"/>
          <w:lang w:val="bg-BG"/>
        </w:rPr>
        <w:t>максимум до 50%</w:t>
      </w:r>
      <w:r w:rsidRPr="00686458">
        <w:rPr>
          <w:rFonts w:ascii="Arial" w:hAnsi="Arial" w:cs="Arial"/>
          <w:sz w:val="20"/>
          <w:szCs w:val="20"/>
          <w:lang w:val="bg-BG"/>
        </w:rPr>
        <w:t xml:space="preserve"> от размера на кредита.</w:t>
      </w:r>
      <w:r w:rsidR="003C7634">
        <w:rPr>
          <w:rFonts w:ascii="Arial" w:hAnsi="Arial" w:cs="Arial"/>
          <w:sz w:val="20"/>
          <w:szCs w:val="20"/>
          <w:lang w:val="bg-BG"/>
        </w:rPr>
        <w:t xml:space="preserve"> </w:t>
      </w:r>
      <w:r w:rsidRPr="00686458">
        <w:rPr>
          <w:rFonts w:ascii="Arial" w:hAnsi="Arial" w:cs="Arial"/>
          <w:sz w:val="20"/>
          <w:szCs w:val="20"/>
          <w:lang w:val="bg-BG"/>
        </w:rPr>
        <w:t xml:space="preserve">Самостоятелни заеми (т.е. без съфинансиране от безвъзмездните средства), отпускани съгласно </w:t>
      </w:r>
      <w:r w:rsidR="003C7634">
        <w:rPr>
          <w:rFonts w:ascii="Arial" w:hAnsi="Arial" w:cs="Arial"/>
          <w:sz w:val="20"/>
          <w:szCs w:val="20"/>
          <w:lang w:val="bg-BG"/>
        </w:rPr>
        <w:t>целите</w:t>
      </w:r>
      <w:r w:rsidRPr="00686458">
        <w:rPr>
          <w:rFonts w:ascii="Arial" w:hAnsi="Arial" w:cs="Arial"/>
          <w:sz w:val="20"/>
          <w:szCs w:val="20"/>
          <w:lang w:val="bg-BG"/>
        </w:rPr>
        <w:t xml:space="preserve"> на под мерки 4.1, 4.2, 6.4 от ПРСР</w:t>
      </w:r>
      <w:r w:rsidRPr="00686458">
        <w:rPr>
          <w:rStyle w:val="FootnoteReference"/>
          <w:rFonts w:ascii="Arial" w:hAnsi="Arial" w:cs="Arial"/>
          <w:sz w:val="20"/>
          <w:szCs w:val="20"/>
          <w:lang w:val="bg-BG"/>
        </w:rPr>
        <w:footnoteReference w:id="4"/>
      </w:r>
      <w:r w:rsidRPr="00686458">
        <w:rPr>
          <w:rFonts w:ascii="Arial" w:hAnsi="Arial" w:cs="Arial"/>
          <w:sz w:val="20"/>
          <w:szCs w:val="20"/>
          <w:lang w:val="bg-BG"/>
        </w:rPr>
        <w:t>. Покритието с ресурс от ПРСР е</w:t>
      </w:r>
      <w:r w:rsidRPr="00686458">
        <w:rPr>
          <w:rFonts w:ascii="Arial" w:hAnsi="Arial" w:cs="Arial"/>
          <w:b/>
          <w:bCs/>
          <w:sz w:val="20"/>
          <w:szCs w:val="20"/>
          <w:lang w:val="bg-BG"/>
        </w:rPr>
        <w:t xml:space="preserve"> максимум до 70%</w:t>
      </w:r>
      <w:r w:rsidRPr="00686458">
        <w:rPr>
          <w:rFonts w:ascii="Arial" w:hAnsi="Arial" w:cs="Arial"/>
          <w:sz w:val="20"/>
          <w:szCs w:val="20"/>
          <w:lang w:val="bg-BG"/>
        </w:rPr>
        <w:t xml:space="preserve"> от размера на кредита. </w:t>
      </w:r>
    </w:p>
    <w:p w:rsidR="00686458" w:rsidRPr="00686458" w:rsidRDefault="00686458" w:rsidP="00686458">
      <w:pPr>
        <w:pStyle w:val="ListParagraph"/>
        <w:spacing w:after="120"/>
        <w:ind w:left="0"/>
        <w:contextualSpacing w:val="0"/>
        <w:jc w:val="both"/>
        <w:rPr>
          <w:rFonts w:ascii="Arial" w:hAnsi="Arial" w:cs="Arial"/>
          <w:sz w:val="20"/>
          <w:szCs w:val="20"/>
          <w:lang w:val="bg-BG"/>
        </w:rPr>
      </w:pPr>
    </w:p>
    <w:p w:rsidR="00686458" w:rsidRPr="00686458" w:rsidRDefault="00686458" w:rsidP="00686458">
      <w:pPr>
        <w:pStyle w:val="Caption"/>
        <w:keepNext/>
        <w:rPr>
          <w:rFonts w:ascii="Arial" w:hAnsi="Arial" w:cs="Arial"/>
          <w:sz w:val="20"/>
          <w:szCs w:val="20"/>
          <w:lang w:val="bg-BG"/>
        </w:rPr>
      </w:pPr>
      <w:r w:rsidRPr="00686458">
        <w:rPr>
          <w:rFonts w:ascii="Arial" w:hAnsi="Arial" w:cs="Arial"/>
          <w:sz w:val="20"/>
          <w:szCs w:val="20"/>
          <w:lang w:val="bg-BG"/>
        </w:rPr>
        <w:t>Таблица 1: Предвиден финансов продукт</w:t>
      </w:r>
    </w:p>
    <w:tbl>
      <w:tblPr>
        <w:tblStyle w:val="TableGrid"/>
        <w:tblW w:w="0" w:type="auto"/>
        <w:tblLook w:val="04A0" w:firstRow="1" w:lastRow="0" w:firstColumn="1" w:lastColumn="0" w:noHBand="0" w:noVBand="1"/>
      </w:tblPr>
      <w:tblGrid>
        <w:gridCol w:w="2812"/>
        <w:gridCol w:w="1743"/>
        <w:gridCol w:w="1779"/>
        <w:gridCol w:w="1843"/>
      </w:tblGrid>
      <w:tr w:rsidR="00686458" w:rsidRPr="00686458" w:rsidTr="00412A9F">
        <w:tc>
          <w:tcPr>
            <w:tcW w:w="2812" w:type="dxa"/>
          </w:tcPr>
          <w:p w:rsidR="00686458" w:rsidRPr="00686458" w:rsidRDefault="00686458" w:rsidP="00412A9F">
            <w:pPr>
              <w:rPr>
                <w:rFonts w:ascii="Arial" w:hAnsi="Arial" w:cs="Arial"/>
                <w:lang w:val="bg-BG"/>
              </w:rPr>
            </w:pPr>
            <w:r w:rsidRPr="00686458">
              <w:rPr>
                <w:rFonts w:ascii="Arial" w:hAnsi="Arial" w:cs="Arial"/>
                <w:color w:val="000000"/>
                <w:lang w:val="bg-BG"/>
              </w:rPr>
              <w:t>Вид на финансовия инструмент</w:t>
            </w:r>
          </w:p>
        </w:tc>
        <w:tc>
          <w:tcPr>
            <w:tcW w:w="1743" w:type="dxa"/>
          </w:tcPr>
          <w:p w:rsidR="00686458" w:rsidRPr="00686458" w:rsidRDefault="00686458" w:rsidP="00412A9F">
            <w:pPr>
              <w:rPr>
                <w:rFonts w:ascii="Arial" w:hAnsi="Arial" w:cs="Arial"/>
                <w:lang w:val="bg-BG"/>
              </w:rPr>
            </w:pPr>
            <w:r w:rsidRPr="00686458">
              <w:rPr>
                <w:rFonts w:ascii="Arial" w:hAnsi="Arial" w:cs="Arial"/>
                <w:color w:val="000000"/>
                <w:lang w:val="bg-BG"/>
              </w:rPr>
              <w:t>Средства от ПРСР  (</w:t>
            </w:r>
            <w:r w:rsidRPr="00686458">
              <w:rPr>
                <w:rFonts w:ascii="Arial" w:hAnsi="Arial" w:cs="Arial"/>
                <w:lang w:val="bg-BG"/>
              </w:rPr>
              <w:t>млн евро)</w:t>
            </w:r>
          </w:p>
        </w:tc>
        <w:tc>
          <w:tcPr>
            <w:tcW w:w="1779" w:type="dxa"/>
          </w:tcPr>
          <w:p w:rsidR="00686458" w:rsidRPr="00686458" w:rsidRDefault="00686458" w:rsidP="00412A9F">
            <w:pPr>
              <w:rPr>
                <w:rFonts w:ascii="Arial" w:hAnsi="Arial" w:cs="Arial"/>
                <w:lang w:val="bg-BG"/>
              </w:rPr>
            </w:pPr>
            <w:r w:rsidRPr="00686458">
              <w:rPr>
                <w:rFonts w:ascii="Arial" w:hAnsi="Arial" w:cs="Arial"/>
                <w:color w:val="000000"/>
                <w:lang w:val="bg-BG"/>
              </w:rPr>
              <w:t>% на финансиране от ПРСР</w:t>
            </w:r>
          </w:p>
        </w:tc>
        <w:tc>
          <w:tcPr>
            <w:tcW w:w="1843" w:type="dxa"/>
          </w:tcPr>
          <w:p w:rsidR="00686458" w:rsidRPr="00686458" w:rsidRDefault="00686458" w:rsidP="00412A9F">
            <w:pPr>
              <w:rPr>
                <w:rFonts w:ascii="Arial" w:hAnsi="Arial" w:cs="Arial"/>
                <w:color w:val="000000"/>
                <w:lang w:val="bg-BG"/>
              </w:rPr>
            </w:pPr>
            <w:r w:rsidRPr="00686458">
              <w:rPr>
                <w:rFonts w:ascii="Arial" w:hAnsi="Arial" w:cs="Arial"/>
                <w:color w:val="000000"/>
                <w:lang w:val="bg-BG"/>
              </w:rPr>
              <w:t>Реализиран портфейл (</w:t>
            </w:r>
            <w:r w:rsidRPr="00686458">
              <w:rPr>
                <w:rFonts w:ascii="Arial" w:hAnsi="Arial" w:cs="Arial"/>
                <w:lang w:val="bg-BG"/>
              </w:rPr>
              <w:t>млн евро)</w:t>
            </w:r>
          </w:p>
        </w:tc>
      </w:tr>
      <w:tr w:rsidR="00686458" w:rsidRPr="00686458" w:rsidTr="00412A9F">
        <w:tc>
          <w:tcPr>
            <w:tcW w:w="2812" w:type="dxa"/>
          </w:tcPr>
          <w:p w:rsidR="00686458" w:rsidRPr="00686458" w:rsidRDefault="00686458" w:rsidP="00412A9F">
            <w:pPr>
              <w:rPr>
                <w:rFonts w:ascii="Arial" w:hAnsi="Arial" w:cs="Arial"/>
                <w:lang w:val="bg-BG"/>
              </w:rPr>
            </w:pPr>
            <w:r w:rsidRPr="00686458">
              <w:rPr>
                <w:rFonts w:ascii="Arial" w:hAnsi="Arial" w:cs="Arial"/>
                <w:color w:val="000000"/>
                <w:lang w:val="bg-BG"/>
              </w:rPr>
              <w:t>Кредити за съфинансиране на проекти, подкрепени с БФП по ПРСР</w:t>
            </w:r>
          </w:p>
        </w:tc>
        <w:tc>
          <w:tcPr>
            <w:tcW w:w="1743" w:type="dxa"/>
          </w:tcPr>
          <w:p w:rsidR="00686458" w:rsidRPr="00686458" w:rsidRDefault="00686458" w:rsidP="00412A9F">
            <w:pPr>
              <w:rPr>
                <w:rFonts w:ascii="Arial" w:hAnsi="Arial" w:cs="Arial"/>
                <w:lang w:val="bg-BG"/>
              </w:rPr>
            </w:pPr>
            <w:r w:rsidRPr="00686458">
              <w:rPr>
                <w:rFonts w:ascii="Arial" w:hAnsi="Arial" w:cs="Arial"/>
                <w:color w:val="000000"/>
                <w:lang w:val="bg-BG"/>
              </w:rPr>
              <w:t>5</w:t>
            </w:r>
          </w:p>
        </w:tc>
        <w:tc>
          <w:tcPr>
            <w:tcW w:w="1779" w:type="dxa"/>
          </w:tcPr>
          <w:p w:rsidR="00686458" w:rsidRPr="00686458" w:rsidRDefault="00686458" w:rsidP="00412A9F">
            <w:pPr>
              <w:rPr>
                <w:rFonts w:ascii="Arial" w:hAnsi="Arial" w:cs="Arial"/>
                <w:lang w:val="bg-BG"/>
              </w:rPr>
            </w:pPr>
            <w:r w:rsidRPr="00686458">
              <w:rPr>
                <w:rFonts w:ascii="Arial" w:hAnsi="Arial" w:cs="Arial"/>
                <w:color w:val="000000"/>
                <w:lang w:val="bg-BG"/>
              </w:rPr>
              <w:t>50%</w:t>
            </w:r>
          </w:p>
        </w:tc>
        <w:tc>
          <w:tcPr>
            <w:tcW w:w="1843" w:type="dxa"/>
          </w:tcPr>
          <w:p w:rsidR="00686458" w:rsidRPr="00686458" w:rsidRDefault="00686458" w:rsidP="00412A9F">
            <w:pPr>
              <w:rPr>
                <w:rFonts w:ascii="Arial" w:hAnsi="Arial" w:cs="Arial"/>
                <w:lang w:val="bg-BG"/>
              </w:rPr>
            </w:pPr>
            <w:r w:rsidRPr="00686458">
              <w:rPr>
                <w:rFonts w:ascii="Arial" w:hAnsi="Arial" w:cs="Arial"/>
                <w:color w:val="000000"/>
                <w:lang w:val="bg-BG"/>
              </w:rPr>
              <w:t>10,00</w:t>
            </w:r>
          </w:p>
        </w:tc>
      </w:tr>
      <w:tr w:rsidR="00686458" w:rsidRPr="00686458" w:rsidTr="00412A9F">
        <w:tc>
          <w:tcPr>
            <w:tcW w:w="2812" w:type="dxa"/>
          </w:tcPr>
          <w:p w:rsidR="00686458" w:rsidRPr="00686458" w:rsidRDefault="00686458" w:rsidP="00412A9F">
            <w:pPr>
              <w:rPr>
                <w:rFonts w:ascii="Arial" w:hAnsi="Arial" w:cs="Arial"/>
                <w:lang w:val="bg-BG"/>
              </w:rPr>
            </w:pPr>
            <w:r w:rsidRPr="00686458">
              <w:rPr>
                <w:rFonts w:ascii="Arial" w:hAnsi="Arial" w:cs="Arial"/>
                <w:color w:val="000000"/>
                <w:lang w:val="bg-BG"/>
              </w:rPr>
              <w:t>Кредит за реализация на инвестиция по ПРСР без комбинация с БФП</w:t>
            </w:r>
          </w:p>
        </w:tc>
        <w:tc>
          <w:tcPr>
            <w:tcW w:w="1743" w:type="dxa"/>
          </w:tcPr>
          <w:p w:rsidR="00686458" w:rsidRPr="00686458" w:rsidRDefault="00686458" w:rsidP="00412A9F">
            <w:pPr>
              <w:rPr>
                <w:rFonts w:ascii="Arial" w:hAnsi="Arial" w:cs="Arial"/>
                <w:lang w:val="bg-BG"/>
              </w:rPr>
            </w:pPr>
            <w:r w:rsidRPr="00686458">
              <w:rPr>
                <w:rFonts w:ascii="Arial" w:hAnsi="Arial" w:cs="Arial"/>
                <w:color w:val="000000"/>
                <w:lang w:val="bg-BG"/>
              </w:rPr>
              <w:t>15</w:t>
            </w:r>
          </w:p>
        </w:tc>
        <w:tc>
          <w:tcPr>
            <w:tcW w:w="1779" w:type="dxa"/>
          </w:tcPr>
          <w:p w:rsidR="00686458" w:rsidRPr="00686458" w:rsidRDefault="00686458" w:rsidP="00412A9F">
            <w:pPr>
              <w:rPr>
                <w:rFonts w:ascii="Arial" w:hAnsi="Arial" w:cs="Arial"/>
                <w:lang w:val="bg-BG"/>
              </w:rPr>
            </w:pPr>
            <w:r w:rsidRPr="00686458">
              <w:rPr>
                <w:rFonts w:ascii="Arial" w:hAnsi="Arial" w:cs="Arial"/>
                <w:color w:val="000000"/>
                <w:lang w:val="bg-BG"/>
              </w:rPr>
              <w:t>70%</w:t>
            </w:r>
          </w:p>
        </w:tc>
        <w:tc>
          <w:tcPr>
            <w:tcW w:w="1843" w:type="dxa"/>
          </w:tcPr>
          <w:p w:rsidR="00686458" w:rsidRPr="00686458" w:rsidRDefault="00686458" w:rsidP="00412A9F">
            <w:pPr>
              <w:rPr>
                <w:rFonts w:ascii="Arial" w:hAnsi="Arial" w:cs="Arial"/>
                <w:lang w:val="bg-BG"/>
              </w:rPr>
            </w:pPr>
            <w:r w:rsidRPr="00686458">
              <w:rPr>
                <w:rFonts w:ascii="Arial" w:hAnsi="Arial" w:cs="Arial"/>
                <w:color w:val="000000"/>
                <w:lang w:val="bg-BG"/>
              </w:rPr>
              <w:t>21.43</w:t>
            </w:r>
          </w:p>
        </w:tc>
      </w:tr>
      <w:tr w:rsidR="00686458" w:rsidRPr="00686458" w:rsidTr="00412A9F">
        <w:tc>
          <w:tcPr>
            <w:tcW w:w="2812" w:type="dxa"/>
          </w:tcPr>
          <w:p w:rsidR="00686458" w:rsidRPr="00686458" w:rsidRDefault="00686458" w:rsidP="00412A9F">
            <w:pPr>
              <w:rPr>
                <w:rFonts w:ascii="Arial" w:hAnsi="Arial" w:cs="Arial"/>
                <w:lang w:val="bg-BG"/>
              </w:rPr>
            </w:pPr>
            <w:r w:rsidRPr="00686458">
              <w:rPr>
                <w:rFonts w:ascii="Arial" w:hAnsi="Arial" w:cs="Arial"/>
                <w:b/>
                <w:bCs/>
                <w:color w:val="000000"/>
                <w:lang w:val="bg-BG"/>
              </w:rPr>
              <w:t>Общо</w:t>
            </w:r>
          </w:p>
        </w:tc>
        <w:tc>
          <w:tcPr>
            <w:tcW w:w="1743" w:type="dxa"/>
          </w:tcPr>
          <w:p w:rsidR="00686458" w:rsidRPr="00686458" w:rsidRDefault="00686458" w:rsidP="00412A9F">
            <w:pPr>
              <w:rPr>
                <w:rFonts w:ascii="Arial" w:hAnsi="Arial" w:cs="Arial"/>
                <w:lang w:val="bg-BG"/>
              </w:rPr>
            </w:pPr>
            <w:r w:rsidRPr="00686458">
              <w:rPr>
                <w:rFonts w:ascii="Arial" w:hAnsi="Arial" w:cs="Arial"/>
                <w:b/>
                <w:bCs/>
                <w:color w:val="000000"/>
                <w:lang w:val="bg-BG"/>
              </w:rPr>
              <w:t>20</w:t>
            </w:r>
          </w:p>
        </w:tc>
        <w:tc>
          <w:tcPr>
            <w:tcW w:w="1779" w:type="dxa"/>
          </w:tcPr>
          <w:p w:rsidR="00686458" w:rsidRPr="00686458" w:rsidRDefault="00686458" w:rsidP="00412A9F">
            <w:pPr>
              <w:rPr>
                <w:rFonts w:ascii="Arial" w:hAnsi="Arial" w:cs="Arial"/>
                <w:lang w:val="bg-BG"/>
              </w:rPr>
            </w:pPr>
          </w:p>
        </w:tc>
        <w:tc>
          <w:tcPr>
            <w:tcW w:w="1843" w:type="dxa"/>
          </w:tcPr>
          <w:p w:rsidR="00686458" w:rsidRPr="00686458" w:rsidRDefault="00686458" w:rsidP="00412A9F">
            <w:pPr>
              <w:rPr>
                <w:rFonts w:ascii="Arial" w:hAnsi="Arial" w:cs="Arial"/>
                <w:b/>
                <w:bCs/>
                <w:lang w:val="bg-BG"/>
              </w:rPr>
            </w:pPr>
            <w:r w:rsidRPr="00686458">
              <w:rPr>
                <w:rFonts w:ascii="Arial" w:hAnsi="Arial" w:cs="Arial"/>
                <w:b/>
                <w:bCs/>
                <w:lang w:val="bg-BG"/>
              </w:rPr>
              <w:t>31.43</w:t>
            </w:r>
          </w:p>
        </w:tc>
      </w:tr>
    </w:tbl>
    <w:p w:rsidR="00686458" w:rsidRPr="00686458" w:rsidRDefault="00686458" w:rsidP="00686458">
      <w:pPr>
        <w:jc w:val="both"/>
        <w:rPr>
          <w:rFonts w:ascii="Arial" w:hAnsi="Arial" w:cs="Arial"/>
          <w:sz w:val="20"/>
          <w:szCs w:val="20"/>
        </w:rPr>
      </w:pPr>
    </w:p>
    <w:p w:rsidR="00686458" w:rsidRPr="00686458" w:rsidRDefault="00686458" w:rsidP="003F07C2">
      <w:pPr>
        <w:ind w:firstLine="708"/>
        <w:jc w:val="both"/>
        <w:rPr>
          <w:rFonts w:ascii="Arial" w:hAnsi="Arial" w:cs="Arial"/>
          <w:sz w:val="20"/>
          <w:szCs w:val="20"/>
        </w:rPr>
      </w:pPr>
      <w:r w:rsidRPr="00686458">
        <w:rPr>
          <w:rFonts w:ascii="Arial" w:hAnsi="Arial" w:cs="Arial"/>
          <w:sz w:val="20"/>
          <w:szCs w:val="20"/>
        </w:rPr>
        <w:lastRenderedPageBreak/>
        <w:t xml:space="preserve">Препоръчителният размер на финансирането на инструмента със средства по ПРСР 2014-2020 е в размер на 40 млн. евро, но поради оставащия ограничен срок за прилагане до края на програмния период и съпътстващия го риск от свръхкапитализация на инструмента, финансовия инструмент ще бъде капитализиран с 20 млн. евро. </w:t>
      </w:r>
    </w:p>
    <w:p w:rsidR="00686458" w:rsidRPr="00686458" w:rsidRDefault="00686458" w:rsidP="00686458">
      <w:pPr>
        <w:spacing w:before="120"/>
        <w:jc w:val="both"/>
        <w:rPr>
          <w:rFonts w:ascii="Arial" w:hAnsi="Arial" w:cs="Arial"/>
        </w:rPr>
      </w:pPr>
      <w:r w:rsidRPr="00686458">
        <w:rPr>
          <w:rFonts w:ascii="Arial" w:hAnsi="Arial" w:cs="Arial"/>
          <w:sz w:val="20"/>
          <w:szCs w:val="20"/>
        </w:rPr>
        <w:t xml:space="preserve">Основните характеристики на предвидения финансов продукт са изложени по-долу. </w:t>
      </w:r>
    </w:p>
    <w:p w:rsidR="00686458" w:rsidRPr="00686458" w:rsidRDefault="00686458" w:rsidP="00686458">
      <w:pPr>
        <w:pStyle w:val="Caption"/>
        <w:keepNext/>
        <w:rPr>
          <w:rFonts w:ascii="Arial" w:hAnsi="Arial" w:cs="Arial"/>
          <w:sz w:val="20"/>
          <w:szCs w:val="20"/>
          <w:lang w:val="bg-BG"/>
        </w:rPr>
      </w:pPr>
      <w:r w:rsidRPr="00686458">
        <w:rPr>
          <w:rFonts w:ascii="Arial" w:hAnsi="Arial" w:cs="Arial"/>
          <w:sz w:val="20"/>
          <w:szCs w:val="20"/>
          <w:lang w:val="bg-BG"/>
        </w:rPr>
        <w:t xml:space="preserve">Таблица 2: Характеристики на финансов продукт </w:t>
      </w:r>
    </w:p>
    <w:tbl>
      <w:tblPr>
        <w:tblW w:w="9923" w:type="dxa"/>
        <w:tblInd w:w="70" w:type="dxa"/>
        <w:tblCellMar>
          <w:left w:w="70" w:type="dxa"/>
          <w:right w:w="70" w:type="dxa"/>
        </w:tblCellMar>
        <w:tblLook w:val="04A0" w:firstRow="1" w:lastRow="0" w:firstColumn="1" w:lastColumn="0" w:noHBand="0" w:noVBand="1"/>
      </w:tblPr>
      <w:tblGrid>
        <w:gridCol w:w="2567"/>
        <w:gridCol w:w="7356"/>
      </w:tblGrid>
      <w:tr w:rsidR="00686458" w:rsidRPr="00686458" w:rsidTr="00412A9F">
        <w:trPr>
          <w:trHeight w:val="510"/>
          <w:tblHeader/>
        </w:trPr>
        <w:tc>
          <w:tcPr>
            <w:tcW w:w="2127" w:type="dxa"/>
            <w:tcBorders>
              <w:top w:val="single" w:sz="4" w:space="0" w:color="auto"/>
              <w:left w:val="single" w:sz="4" w:space="0" w:color="auto"/>
              <w:bottom w:val="single" w:sz="4" w:space="0" w:color="auto"/>
              <w:right w:val="nil"/>
            </w:tcBorders>
            <w:shd w:val="clear" w:color="000000" w:fill="D9D9D9"/>
            <w:vAlign w:val="center"/>
            <w:hideMark/>
          </w:tcPr>
          <w:p w:rsidR="00686458" w:rsidRPr="00686458" w:rsidRDefault="00686458" w:rsidP="00412A9F">
            <w:pPr>
              <w:spacing w:after="0" w:line="240" w:lineRule="auto"/>
              <w:rPr>
                <w:rFonts w:ascii="Arial" w:eastAsia="Times New Roman" w:hAnsi="Arial" w:cs="Arial"/>
                <w:b/>
                <w:bCs/>
                <w:color w:val="000000"/>
                <w:sz w:val="18"/>
                <w:szCs w:val="18"/>
                <w:lang w:eastAsia="bg-BG"/>
              </w:rPr>
            </w:pPr>
            <w:r w:rsidRPr="00686458">
              <w:rPr>
                <w:rFonts w:ascii="Arial" w:eastAsia="Times New Roman" w:hAnsi="Arial" w:cs="Arial"/>
                <w:b/>
                <w:bCs/>
                <w:color w:val="000000"/>
                <w:sz w:val="18"/>
                <w:szCs w:val="18"/>
                <w:lang w:eastAsia="bg-BG"/>
              </w:rPr>
              <w:t>Характеристики на финансовия продукт</w:t>
            </w:r>
          </w:p>
        </w:tc>
        <w:tc>
          <w:tcPr>
            <w:tcW w:w="7796"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686458" w:rsidRPr="00686458" w:rsidRDefault="00686458" w:rsidP="00412A9F">
            <w:pPr>
              <w:spacing w:after="0" w:line="240" w:lineRule="auto"/>
              <w:rPr>
                <w:rFonts w:ascii="Arial" w:eastAsia="Times New Roman" w:hAnsi="Arial" w:cs="Arial"/>
                <w:b/>
                <w:bCs/>
                <w:color w:val="000000"/>
                <w:sz w:val="18"/>
                <w:szCs w:val="18"/>
                <w:lang w:eastAsia="bg-BG"/>
              </w:rPr>
            </w:pPr>
            <w:r w:rsidRPr="00686458">
              <w:rPr>
                <w:rFonts w:ascii="Arial" w:eastAsia="Times New Roman" w:hAnsi="Arial" w:cs="Arial"/>
                <w:b/>
                <w:bCs/>
                <w:color w:val="000000"/>
                <w:sz w:val="18"/>
                <w:szCs w:val="18"/>
                <w:lang w:eastAsia="bg-BG"/>
              </w:rPr>
              <w:t>Заеми</w:t>
            </w:r>
          </w:p>
        </w:tc>
      </w:tr>
      <w:tr w:rsidR="00686458" w:rsidRPr="00686458" w:rsidTr="00412A9F">
        <w:trPr>
          <w:trHeight w:val="495"/>
        </w:trPr>
        <w:tc>
          <w:tcPr>
            <w:tcW w:w="2127" w:type="dxa"/>
            <w:tcBorders>
              <w:top w:val="single" w:sz="4" w:space="0" w:color="auto"/>
              <w:left w:val="single" w:sz="4" w:space="0" w:color="auto"/>
              <w:bottom w:val="single" w:sz="4" w:space="0" w:color="auto"/>
              <w:right w:val="single" w:sz="4" w:space="0" w:color="auto"/>
            </w:tcBorders>
            <w:shd w:val="clear" w:color="auto" w:fill="auto"/>
          </w:tcPr>
          <w:p w:rsidR="00686458" w:rsidRPr="00686458" w:rsidRDefault="00686458" w:rsidP="00412A9F">
            <w:pPr>
              <w:spacing w:after="0" w:line="240" w:lineRule="auto"/>
              <w:rPr>
                <w:rFonts w:ascii="Arial" w:eastAsia="Times New Roman" w:hAnsi="Arial" w:cs="Arial"/>
                <w:color w:val="000000"/>
                <w:sz w:val="18"/>
                <w:szCs w:val="18"/>
                <w:lang w:eastAsia="bg-BG"/>
              </w:rPr>
            </w:pPr>
            <w:r w:rsidRPr="00686458">
              <w:rPr>
                <w:rFonts w:ascii="Arial" w:eastAsia="Times New Roman" w:hAnsi="Arial" w:cs="Arial"/>
                <w:color w:val="000000"/>
                <w:sz w:val="18"/>
                <w:szCs w:val="18"/>
                <w:lang w:eastAsia="bg-BG"/>
              </w:rPr>
              <w:t>Описание</w:t>
            </w:r>
          </w:p>
        </w:tc>
        <w:tc>
          <w:tcPr>
            <w:tcW w:w="7796" w:type="dxa"/>
            <w:tcBorders>
              <w:top w:val="nil"/>
              <w:left w:val="nil"/>
              <w:bottom w:val="single" w:sz="4" w:space="0" w:color="auto"/>
              <w:right w:val="single" w:sz="4" w:space="0" w:color="auto"/>
            </w:tcBorders>
            <w:shd w:val="clear" w:color="auto" w:fill="auto"/>
            <w:vAlign w:val="bottom"/>
          </w:tcPr>
          <w:p w:rsidR="00686458" w:rsidRPr="00686458" w:rsidRDefault="00686458" w:rsidP="00686458">
            <w:pPr>
              <w:pStyle w:val="ListParagraph"/>
              <w:numPr>
                <w:ilvl w:val="0"/>
                <w:numId w:val="6"/>
              </w:numPr>
              <w:spacing w:after="0" w:line="240" w:lineRule="auto"/>
              <w:jc w:val="both"/>
              <w:rPr>
                <w:rFonts w:ascii="Arial" w:eastAsia="Times New Roman" w:hAnsi="Arial" w:cs="Arial"/>
                <w:color w:val="000000"/>
                <w:sz w:val="18"/>
                <w:szCs w:val="18"/>
                <w:lang w:val="bg-BG" w:eastAsia="bg-BG"/>
              </w:rPr>
            </w:pPr>
            <w:r w:rsidRPr="00686458">
              <w:rPr>
                <w:rFonts w:ascii="Arial" w:eastAsia="Times New Roman" w:hAnsi="Arial" w:cs="Arial"/>
                <w:b/>
                <w:bCs/>
                <w:color w:val="000000"/>
                <w:sz w:val="18"/>
                <w:szCs w:val="18"/>
                <w:lang w:val="bg-BG" w:eastAsia="bg-BG"/>
              </w:rPr>
              <w:t>Заеми, които ще бъдат предоставяни на допустими крайни получатели като съфинасиране към БФП</w:t>
            </w:r>
            <w:r w:rsidRPr="00686458">
              <w:rPr>
                <w:rFonts w:ascii="Arial" w:eastAsia="Times New Roman" w:hAnsi="Arial" w:cs="Arial"/>
                <w:color w:val="000000"/>
                <w:sz w:val="18"/>
                <w:szCs w:val="18"/>
                <w:lang w:val="bg-BG" w:eastAsia="bg-BG"/>
              </w:rPr>
              <w:t xml:space="preserve"> (до 50% средства от ПРСР) и</w:t>
            </w:r>
          </w:p>
          <w:p w:rsidR="00686458" w:rsidRPr="00686458" w:rsidRDefault="00686458" w:rsidP="00412A9F">
            <w:pPr>
              <w:pStyle w:val="ListParagraph"/>
              <w:spacing w:after="0" w:line="240" w:lineRule="auto"/>
              <w:jc w:val="both"/>
              <w:rPr>
                <w:rFonts w:ascii="Arial" w:eastAsia="Times New Roman" w:hAnsi="Arial" w:cs="Arial"/>
                <w:color w:val="000000"/>
                <w:sz w:val="18"/>
                <w:szCs w:val="18"/>
                <w:lang w:val="bg-BG" w:eastAsia="bg-BG"/>
              </w:rPr>
            </w:pPr>
          </w:p>
          <w:p w:rsidR="00686458" w:rsidRPr="00686458" w:rsidRDefault="00686458" w:rsidP="00686458">
            <w:pPr>
              <w:pStyle w:val="ListParagraph"/>
              <w:numPr>
                <w:ilvl w:val="0"/>
                <w:numId w:val="6"/>
              </w:numPr>
              <w:spacing w:after="0" w:line="240" w:lineRule="auto"/>
              <w:jc w:val="both"/>
              <w:rPr>
                <w:rFonts w:ascii="Arial" w:eastAsia="Times New Roman" w:hAnsi="Arial" w:cs="Arial"/>
                <w:color w:val="000000"/>
                <w:sz w:val="18"/>
                <w:szCs w:val="18"/>
                <w:lang w:val="bg-BG" w:eastAsia="bg-BG"/>
              </w:rPr>
            </w:pPr>
            <w:r w:rsidRPr="00686458">
              <w:rPr>
                <w:rFonts w:ascii="Arial" w:eastAsia="Times New Roman" w:hAnsi="Arial" w:cs="Arial"/>
                <w:b/>
                <w:bCs/>
                <w:color w:val="000000"/>
                <w:sz w:val="18"/>
                <w:szCs w:val="18"/>
                <w:lang w:val="bg-BG" w:eastAsia="bg-BG"/>
              </w:rPr>
              <w:t xml:space="preserve">Самостоятелни заеми </w:t>
            </w:r>
            <w:r w:rsidRPr="00686458">
              <w:rPr>
                <w:rFonts w:ascii="Arial" w:eastAsia="Times New Roman" w:hAnsi="Arial" w:cs="Arial"/>
                <w:color w:val="000000"/>
                <w:sz w:val="18"/>
                <w:szCs w:val="18"/>
                <w:lang w:val="bg-BG" w:eastAsia="bg-BG"/>
              </w:rPr>
              <w:t>(до 70% средства от ПРСР)</w:t>
            </w:r>
          </w:p>
          <w:p w:rsidR="00686458" w:rsidRPr="00686458" w:rsidRDefault="00686458" w:rsidP="00412A9F">
            <w:pPr>
              <w:spacing w:after="0" w:line="240" w:lineRule="auto"/>
              <w:jc w:val="both"/>
              <w:rPr>
                <w:rFonts w:ascii="Arial" w:eastAsia="Times New Roman" w:hAnsi="Arial" w:cs="Arial"/>
                <w:color w:val="000000"/>
                <w:sz w:val="18"/>
                <w:szCs w:val="18"/>
                <w:lang w:eastAsia="bg-BG"/>
              </w:rPr>
            </w:pPr>
          </w:p>
        </w:tc>
      </w:tr>
      <w:tr w:rsidR="00686458" w:rsidRPr="00686458" w:rsidTr="00412A9F">
        <w:trPr>
          <w:trHeight w:val="1120"/>
        </w:trPr>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686458" w:rsidRPr="00686458" w:rsidRDefault="00686458" w:rsidP="00412A9F">
            <w:pPr>
              <w:spacing w:after="0" w:line="240" w:lineRule="auto"/>
              <w:rPr>
                <w:rFonts w:ascii="Arial" w:eastAsia="Times New Roman" w:hAnsi="Arial" w:cs="Arial"/>
                <w:color w:val="000000"/>
                <w:sz w:val="18"/>
                <w:szCs w:val="18"/>
                <w:lang w:eastAsia="bg-BG"/>
              </w:rPr>
            </w:pPr>
            <w:r w:rsidRPr="00686458">
              <w:rPr>
                <w:rFonts w:ascii="Arial" w:eastAsia="Times New Roman" w:hAnsi="Arial" w:cs="Arial"/>
                <w:color w:val="000000"/>
                <w:sz w:val="18"/>
                <w:szCs w:val="18"/>
                <w:lang w:eastAsia="bg-BG"/>
              </w:rPr>
              <w:t>Допустими проекти</w:t>
            </w:r>
          </w:p>
        </w:tc>
        <w:tc>
          <w:tcPr>
            <w:tcW w:w="7796" w:type="dxa"/>
            <w:tcBorders>
              <w:top w:val="nil"/>
              <w:left w:val="nil"/>
              <w:bottom w:val="single" w:sz="4" w:space="0" w:color="auto"/>
              <w:right w:val="single" w:sz="4" w:space="0" w:color="auto"/>
            </w:tcBorders>
            <w:shd w:val="clear" w:color="auto" w:fill="auto"/>
            <w:hideMark/>
          </w:tcPr>
          <w:p w:rsidR="00686458" w:rsidRPr="00686458" w:rsidRDefault="00686458" w:rsidP="00686458">
            <w:pPr>
              <w:pStyle w:val="ListParagraph"/>
              <w:numPr>
                <w:ilvl w:val="0"/>
                <w:numId w:val="5"/>
              </w:numPr>
              <w:spacing w:before="120" w:after="120" w:line="240" w:lineRule="auto"/>
              <w:ind w:left="357" w:hanging="357"/>
              <w:rPr>
                <w:rFonts w:ascii="Arial" w:eastAsia="Times New Roman" w:hAnsi="Arial" w:cs="Arial"/>
                <w:color w:val="000000"/>
                <w:sz w:val="18"/>
                <w:szCs w:val="18"/>
                <w:lang w:val="bg-BG" w:eastAsia="bg-BG"/>
              </w:rPr>
            </w:pPr>
            <w:r w:rsidRPr="00686458">
              <w:rPr>
                <w:rFonts w:ascii="Arial" w:eastAsia="Times New Roman" w:hAnsi="Arial" w:cs="Arial"/>
                <w:color w:val="000000"/>
                <w:sz w:val="18"/>
                <w:szCs w:val="18"/>
                <w:lang w:val="bg-BG" w:eastAsia="bg-BG"/>
              </w:rPr>
              <w:t xml:space="preserve">Проектите следва да бъдат устойчиви и финансово жизнеспособни. </w:t>
            </w:r>
          </w:p>
          <w:p w:rsidR="00686458" w:rsidRPr="00686458" w:rsidRDefault="00686458" w:rsidP="00686458">
            <w:pPr>
              <w:pStyle w:val="ListParagraph"/>
              <w:numPr>
                <w:ilvl w:val="0"/>
                <w:numId w:val="5"/>
              </w:numPr>
              <w:spacing w:before="120" w:after="120"/>
              <w:ind w:left="357" w:hanging="357"/>
              <w:rPr>
                <w:rFonts w:ascii="Arial" w:hAnsi="Arial" w:cs="Arial"/>
                <w:sz w:val="18"/>
                <w:szCs w:val="18"/>
                <w:lang w:val="bg-BG"/>
              </w:rPr>
            </w:pPr>
            <w:r w:rsidRPr="00686458">
              <w:rPr>
                <w:rFonts w:ascii="Arial" w:hAnsi="Arial" w:cs="Arial"/>
                <w:sz w:val="18"/>
                <w:szCs w:val="18"/>
                <w:lang w:val="bg-BG"/>
              </w:rPr>
              <w:t xml:space="preserve">Проекти за земеделски и неземеделски инвестиции в селски райони, включително инвестиции, финансирани по програма ЛИДЕР подкрепени в комбинация на заем за съфинансиране от ФИ и БФП от ПРСР 2014-2020. </w:t>
            </w:r>
          </w:p>
          <w:p w:rsidR="00686458" w:rsidRPr="00686458" w:rsidRDefault="00686458" w:rsidP="003C7634">
            <w:pPr>
              <w:pStyle w:val="ListParagraph"/>
              <w:numPr>
                <w:ilvl w:val="0"/>
                <w:numId w:val="5"/>
              </w:numPr>
              <w:spacing w:before="120" w:after="120"/>
              <w:ind w:left="357" w:hanging="357"/>
              <w:rPr>
                <w:rFonts w:ascii="Arial" w:hAnsi="Arial" w:cs="Arial"/>
                <w:sz w:val="18"/>
                <w:szCs w:val="18"/>
                <w:lang w:val="bg-BG"/>
              </w:rPr>
            </w:pPr>
            <w:r w:rsidRPr="00686458">
              <w:rPr>
                <w:rFonts w:ascii="Arial" w:hAnsi="Arial" w:cs="Arial"/>
                <w:sz w:val="18"/>
                <w:szCs w:val="18"/>
                <w:lang w:val="bg-BG"/>
              </w:rPr>
              <w:t xml:space="preserve">Проекти без съфинансиране с безвъзмездни средства, отговарящи на </w:t>
            </w:r>
            <w:r w:rsidR="003C7634">
              <w:rPr>
                <w:rFonts w:ascii="Arial" w:hAnsi="Arial" w:cs="Arial"/>
                <w:sz w:val="18"/>
                <w:szCs w:val="18"/>
                <w:lang w:val="bg-BG"/>
              </w:rPr>
              <w:t>целите</w:t>
            </w:r>
            <w:r w:rsidRPr="00686458">
              <w:rPr>
                <w:rFonts w:ascii="Arial" w:hAnsi="Arial" w:cs="Arial"/>
                <w:sz w:val="18"/>
                <w:szCs w:val="18"/>
                <w:lang w:val="bg-BG"/>
              </w:rPr>
              <w:t xml:space="preserve"> по подмерки 4.1, 4.2, 6.4 от ПРСР 2014-2020</w:t>
            </w:r>
          </w:p>
        </w:tc>
      </w:tr>
      <w:tr w:rsidR="00686458" w:rsidRPr="00686458" w:rsidTr="00412A9F">
        <w:trPr>
          <w:trHeight w:val="334"/>
        </w:trPr>
        <w:tc>
          <w:tcPr>
            <w:tcW w:w="2127" w:type="dxa"/>
            <w:tcBorders>
              <w:top w:val="nil"/>
              <w:left w:val="single" w:sz="4" w:space="0" w:color="auto"/>
              <w:bottom w:val="single" w:sz="4" w:space="0" w:color="auto"/>
              <w:right w:val="single" w:sz="4" w:space="0" w:color="auto"/>
            </w:tcBorders>
            <w:shd w:val="clear" w:color="auto" w:fill="auto"/>
            <w:hideMark/>
          </w:tcPr>
          <w:p w:rsidR="00686458" w:rsidRPr="00686458" w:rsidRDefault="00686458" w:rsidP="00412A9F">
            <w:pPr>
              <w:keepNext/>
              <w:spacing w:after="0" w:line="240" w:lineRule="auto"/>
              <w:rPr>
                <w:rFonts w:ascii="Arial" w:eastAsia="Times New Roman" w:hAnsi="Arial" w:cs="Arial"/>
                <w:color w:val="000000"/>
                <w:sz w:val="18"/>
                <w:szCs w:val="18"/>
                <w:lang w:eastAsia="bg-BG"/>
              </w:rPr>
            </w:pPr>
            <w:r w:rsidRPr="00686458">
              <w:rPr>
                <w:rFonts w:ascii="Arial" w:eastAsia="Times New Roman" w:hAnsi="Arial" w:cs="Arial"/>
                <w:color w:val="000000"/>
                <w:sz w:val="18"/>
                <w:szCs w:val="18"/>
                <w:lang w:eastAsia="bg-BG"/>
              </w:rPr>
              <w:t>Допустими крайни получатели</w:t>
            </w:r>
          </w:p>
        </w:tc>
        <w:tc>
          <w:tcPr>
            <w:tcW w:w="7796" w:type="dxa"/>
            <w:tcBorders>
              <w:top w:val="nil"/>
              <w:left w:val="nil"/>
              <w:bottom w:val="single" w:sz="4" w:space="0" w:color="auto"/>
              <w:right w:val="single" w:sz="4" w:space="0" w:color="auto"/>
            </w:tcBorders>
            <w:shd w:val="clear" w:color="auto" w:fill="auto"/>
            <w:hideMark/>
          </w:tcPr>
          <w:p w:rsidR="00686458" w:rsidRPr="00686458" w:rsidRDefault="00686458" w:rsidP="003C7634">
            <w:pPr>
              <w:spacing w:after="0" w:line="240" w:lineRule="auto"/>
              <w:rPr>
                <w:rFonts w:ascii="Arial" w:eastAsia="Times New Roman" w:hAnsi="Arial" w:cs="Arial"/>
                <w:color w:val="000000"/>
                <w:sz w:val="18"/>
                <w:szCs w:val="18"/>
                <w:lang w:eastAsia="bg-BG"/>
              </w:rPr>
            </w:pPr>
            <w:r w:rsidRPr="00686458">
              <w:rPr>
                <w:rFonts w:ascii="Arial" w:eastAsia="Times New Roman" w:hAnsi="Arial" w:cs="Arial"/>
                <w:color w:val="000000"/>
                <w:sz w:val="18"/>
                <w:szCs w:val="18"/>
                <w:lang w:eastAsia="bg-BG"/>
              </w:rPr>
              <w:t xml:space="preserve">Микро, малки и средни предприятия, отговарящи на </w:t>
            </w:r>
            <w:r w:rsidR="003C7634">
              <w:rPr>
                <w:rFonts w:ascii="Arial" w:eastAsia="Times New Roman" w:hAnsi="Arial" w:cs="Arial"/>
                <w:color w:val="000000"/>
                <w:sz w:val="18"/>
                <w:szCs w:val="18"/>
                <w:lang w:eastAsia="bg-BG"/>
              </w:rPr>
              <w:t>целите</w:t>
            </w:r>
            <w:r w:rsidRPr="00686458">
              <w:rPr>
                <w:rFonts w:ascii="Arial" w:eastAsia="Times New Roman" w:hAnsi="Arial" w:cs="Arial"/>
                <w:color w:val="000000"/>
                <w:sz w:val="18"/>
                <w:szCs w:val="18"/>
                <w:lang w:eastAsia="bg-BG"/>
              </w:rPr>
              <w:t xml:space="preserve"> по съответните подмерки</w:t>
            </w:r>
          </w:p>
        </w:tc>
      </w:tr>
      <w:tr w:rsidR="00686458" w:rsidRPr="00686458" w:rsidTr="00412A9F">
        <w:trPr>
          <w:trHeight w:val="334"/>
        </w:trPr>
        <w:tc>
          <w:tcPr>
            <w:tcW w:w="2127" w:type="dxa"/>
            <w:tcBorders>
              <w:top w:val="nil"/>
              <w:left w:val="single" w:sz="4" w:space="0" w:color="auto"/>
              <w:bottom w:val="single" w:sz="4" w:space="0" w:color="auto"/>
              <w:right w:val="single" w:sz="4" w:space="0" w:color="auto"/>
            </w:tcBorders>
            <w:shd w:val="clear" w:color="auto" w:fill="auto"/>
          </w:tcPr>
          <w:p w:rsidR="00686458" w:rsidRPr="00686458" w:rsidRDefault="00686458" w:rsidP="00412A9F">
            <w:pPr>
              <w:keepNext/>
              <w:spacing w:after="0" w:line="240" w:lineRule="auto"/>
              <w:rPr>
                <w:rFonts w:ascii="Arial" w:eastAsia="Times New Roman" w:hAnsi="Arial" w:cs="Arial"/>
                <w:color w:val="000000"/>
                <w:sz w:val="18"/>
                <w:szCs w:val="18"/>
                <w:lang w:eastAsia="bg-BG"/>
              </w:rPr>
            </w:pPr>
            <w:r w:rsidRPr="00686458">
              <w:rPr>
                <w:rFonts w:ascii="Arial" w:eastAsia="Times New Roman" w:hAnsi="Arial" w:cs="Arial"/>
                <w:color w:val="000000"/>
                <w:sz w:val="18"/>
                <w:szCs w:val="18"/>
                <w:lang w:eastAsia="bg-BG"/>
              </w:rPr>
              <w:t>Допустими разход</w:t>
            </w:r>
          </w:p>
        </w:tc>
        <w:tc>
          <w:tcPr>
            <w:tcW w:w="7796" w:type="dxa"/>
            <w:tcBorders>
              <w:top w:val="nil"/>
              <w:left w:val="nil"/>
              <w:bottom w:val="single" w:sz="4" w:space="0" w:color="auto"/>
              <w:right w:val="single" w:sz="4" w:space="0" w:color="auto"/>
            </w:tcBorders>
            <w:shd w:val="clear" w:color="auto" w:fill="auto"/>
          </w:tcPr>
          <w:p w:rsidR="00686458" w:rsidRPr="00686458" w:rsidRDefault="00686458" w:rsidP="00412A9F">
            <w:pPr>
              <w:spacing w:after="0" w:line="240" w:lineRule="auto"/>
              <w:jc w:val="both"/>
              <w:rPr>
                <w:rFonts w:ascii="Arial" w:eastAsia="Times New Roman" w:hAnsi="Arial" w:cs="Arial"/>
                <w:sz w:val="18"/>
                <w:szCs w:val="18"/>
                <w:lang w:eastAsia="bg-BG"/>
              </w:rPr>
            </w:pPr>
            <w:r w:rsidRPr="00686458">
              <w:rPr>
                <w:rFonts w:ascii="Arial" w:eastAsia="Times New Roman" w:hAnsi="Arial" w:cs="Arial"/>
                <w:sz w:val="18"/>
                <w:szCs w:val="18"/>
                <w:lang w:eastAsia="bg-BG"/>
              </w:rPr>
              <w:t xml:space="preserve">Съобразно приложимите разпоредби на правото на ЕС и националното законодателство. </w:t>
            </w:r>
          </w:p>
          <w:p w:rsidR="00686458" w:rsidRPr="00686458" w:rsidRDefault="00686458" w:rsidP="00412A9F">
            <w:pPr>
              <w:spacing w:after="0" w:line="240" w:lineRule="auto"/>
              <w:jc w:val="both"/>
              <w:rPr>
                <w:rFonts w:ascii="Arial" w:eastAsia="Times New Roman" w:hAnsi="Arial" w:cs="Arial"/>
                <w:sz w:val="18"/>
                <w:szCs w:val="18"/>
                <w:lang w:eastAsia="bg-BG"/>
              </w:rPr>
            </w:pPr>
            <w:r w:rsidRPr="00686458">
              <w:rPr>
                <w:rFonts w:ascii="Arial" w:eastAsia="Times New Roman" w:hAnsi="Arial" w:cs="Arial"/>
                <w:sz w:val="18"/>
                <w:szCs w:val="18"/>
                <w:lang w:eastAsia="bg-BG"/>
              </w:rPr>
              <w:t>Начинът на отчитане на ДДС на равнището на инвестициите, направени от крайните получатели, не се взема предвид при определяне на допустимостта на разходите във връзка с финансовия инструмент.</w:t>
            </w:r>
          </w:p>
        </w:tc>
      </w:tr>
      <w:tr w:rsidR="00686458" w:rsidRPr="00686458" w:rsidTr="00412A9F">
        <w:trPr>
          <w:trHeight w:val="334"/>
        </w:trPr>
        <w:tc>
          <w:tcPr>
            <w:tcW w:w="2127" w:type="dxa"/>
            <w:tcBorders>
              <w:top w:val="nil"/>
              <w:left w:val="single" w:sz="4" w:space="0" w:color="auto"/>
              <w:bottom w:val="single" w:sz="4" w:space="0" w:color="auto"/>
              <w:right w:val="single" w:sz="4" w:space="0" w:color="auto"/>
            </w:tcBorders>
            <w:shd w:val="clear" w:color="auto" w:fill="auto"/>
          </w:tcPr>
          <w:p w:rsidR="00686458" w:rsidRPr="00686458" w:rsidRDefault="00686458" w:rsidP="00412A9F">
            <w:pPr>
              <w:keepNext/>
              <w:spacing w:after="0" w:line="240" w:lineRule="auto"/>
              <w:rPr>
                <w:rFonts w:ascii="Arial" w:eastAsia="Times New Roman" w:hAnsi="Arial" w:cs="Arial"/>
                <w:color w:val="000000"/>
                <w:sz w:val="18"/>
                <w:szCs w:val="18"/>
                <w:lang w:eastAsia="bg-BG"/>
              </w:rPr>
            </w:pPr>
            <w:r w:rsidRPr="00686458">
              <w:rPr>
                <w:rFonts w:ascii="Arial" w:eastAsia="Times New Roman" w:hAnsi="Arial" w:cs="Arial"/>
                <w:color w:val="000000"/>
                <w:sz w:val="18"/>
                <w:szCs w:val="18"/>
                <w:lang w:eastAsia="bg-BG"/>
              </w:rPr>
              <w:t>Допустими финансови посредници</w:t>
            </w:r>
          </w:p>
        </w:tc>
        <w:tc>
          <w:tcPr>
            <w:tcW w:w="7796" w:type="dxa"/>
            <w:tcBorders>
              <w:top w:val="nil"/>
              <w:left w:val="nil"/>
              <w:bottom w:val="single" w:sz="4" w:space="0" w:color="auto"/>
              <w:right w:val="single" w:sz="4" w:space="0" w:color="auto"/>
            </w:tcBorders>
            <w:shd w:val="clear" w:color="auto" w:fill="auto"/>
          </w:tcPr>
          <w:p w:rsidR="00686458" w:rsidRPr="00686458" w:rsidRDefault="00686458" w:rsidP="00412A9F">
            <w:pPr>
              <w:spacing w:after="0" w:line="240" w:lineRule="auto"/>
              <w:jc w:val="both"/>
              <w:rPr>
                <w:rFonts w:ascii="Arial" w:eastAsia="Times New Roman" w:hAnsi="Arial" w:cs="Arial"/>
                <w:sz w:val="18"/>
                <w:szCs w:val="18"/>
                <w:lang w:eastAsia="bg-BG"/>
              </w:rPr>
            </w:pPr>
            <w:r w:rsidRPr="00686458">
              <w:rPr>
                <w:rFonts w:ascii="Arial" w:eastAsia="Times New Roman" w:hAnsi="Arial" w:cs="Arial"/>
                <w:sz w:val="18"/>
                <w:szCs w:val="18"/>
                <w:lang w:eastAsia="bg-BG"/>
              </w:rPr>
              <w:t xml:space="preserve">Финансови и кредитни институции лицензирани/регистрирани да извършват съответната дейност на територията на Република България; </w:t>
            </w:r>
          </w:p>
          <w:p w:rsidR="00686458" w:rsidRPr="00686458" w:rsidRDefault="00686458" w:rsidP="00412A9F">
            <w:pPr>
              <w:spacing w:after="0" w:line="240" w:lineRule="auto"/>
              <w:jc w:val="both"/>
              <w:rPr>
                <w:rFonts w:ascii="Arial" w:eastAsia="Times New Roman" w:hAnsi="Arial" w:cs="Arial"/>
                <w:sz w:val="18"/>
                <w:szCs w:val="18"/>
                <w:lang w:eastAsia="bg-BG"/>
              </w:rPr>
            </w:pPr>
            <w:r w:rsidRPr="00686458">
              <w:rPr>
                <w:rFonts w:ascii="Arial" w:eastAsia="Times New Roman" w:hAnsi="Arial" w:cs="Arial"/>
                <w:sz w:val="18"/>
                <w:szCs w:val="18"/>
                <w:lang w:eastAsia="bg-BG"/>
              </w:rPr>
              <w:t xml:space="preserve">МФИ, отговарящи на изискванията на чл. 38, пар. 5 от Регламент 1303/2013 г. и на чл. 6 и 7 от Регламент 480/2014 г.; </w:t>
            </w:r>
          </w:p>
          <w:p w:rsidR="00686458" w:rsidRPr="00686458" w:rsidRDefault="00686458" w:rsidP="00412A9F">
            <w:pPr>
              <w:spacing w:after="0" w:line="240" w:lineRule="auto"/>
              <w:jc w:val="both"/>
              <w:rPr>
                <w:rFonts w:ascii="Arial" w:eastAsia="Times New Roman" w:hAnsi="Arial" w:cs="Arial"/>
                <w:color w:val="000000"/>
                <w:sz w:val="18"/>
                <w:szCs w:val="18"/>
                <w:lang w:eastAsia="bg-BG"/>
              </w:rPr>
            </w:pPr>
            <w:r w:rsidRPr="00686458">
              <w:rPr>
                <w:rFonts w:ascii="Arial" w:eastAsia="Times New Roman" w:hAnsi="Arial" w:cs="Arial"/>
                <w:sz w:val="18"/>
                <w:szCs w:val="18"/>
                <w:lang w:eastAsia="bg-BG"/>
              </w:rPr>
              <w:t>Институции, отговарящи на изискванията на   чл. 4, пар. 4 (b) (iii) от Регламент 1303/2013 г.</w:t>
            </w:r>
          </w:p>
        </w:tc>
      </w:tr>
      <w:tr w:rsidR="00686458" w:rsidRPr="00686458" w:rsidTr="00412A9F">
        <w:trPr>
          <w:trHeight w:val="285"/>
        </w:trPr>
        <w:tc>
          <w:tcPr>
            <w:tcW w:w="2127" w:type="dxa"/>
            <w:tcBorders>
              <w:top w:val="nil"/>
              <w:left w:val="single" w:sz="4" w:space="0" w:color="auto"/>
              <w:bottom w:val="single" w:sz="4" w:space="0" w:color="auto"/>
              <w:right w:val="single" w:sz="4" w:space="0" w:color="auto"/>
            </w:tcBorders>
            <w:shd w:val="clear" w:color="auto" w:fill="auto"/>
            <w:hideMark/>
          </w:tcPr>
          <w:p w:rsidR="00686458" w:rsidRPr="00686458" w:rsidRDefault="00686458" w:rsidP="00412A9F">
            <w:pPr>
              <w:spacing w:after="0" w:line="240" w:lineRule="auto"/>
              <w:rPr>
                <w:rFonts w:ascii="Arial" w:eastAsia="Times New Roman" w:hAnsi="Arial" w:cs="Arial"/>
                <w:color w:val="000000"/>
                <w:sz w:val="18"/>
                <w:szCs w:val="18"/>
                <w:lang w:eastAsia="bg-BG"/>
              </w:rPr>
            </w:pPr>
            <w:r w:rsidRPr="00686458">
              <w:rPr>
                <w:rFonts w:ascii="Arial" w:eastAsia="Times New Roman" w:hAnsi="Arial" w:cs="Arial"/>
                <w:color w:val="000000"/>
                <w:sz w:val="18"/>
                <w:szCs w:val="18"/>
                <w:lang w:eastAsia="bg-BG"/>
              </w:rPr>
              <w:t>Условия на заемите</w:t>
            </w:r>
          </w:p>
        </w:tc>
        <w:tc>
          <w:tcPr>
            <w:tcW w:w="7796" w:type="dxa"/>
            <w:tcBorders>
              <w:top w:val="nil"/>
              <w:left w:val="nil"/>
              <w:bottom w:val="single" w:sz="4" w:space="0" w:color="auto"/>
              <w:right w:val="single" w:sz="4" w:space="0" w:color="auto"/>
            </w:tcBorders>
            <w:shd w:val="clear" w:color="auto" w:fill="auto"/>
            <w:hideMark/>
          </w:tcPr>
          <w:p w:rsidR="00686458" w:rsidRPr="00686458" w:rsidRDefault="00686458" w:rsidP="00412A9F">
            <w:pPr>
              <w:keepNext/>
              <w:spacing w:after="0" w:line="240" w:lineRule="auto"/>
              <w:jc w:val="both"/>
              <w:rPr>
                <w:rFonts w:ascii="Arial" w:eastAsia="Times New Roman" w:hAnsi="Arial" w:cs="Arial"/>
                <w:sz w:val="18"/>
                <w:szCs w:val="18"/>
                <w:lang w:eastAsia="bg-BG"/>
              </w:rPr>
            </w:pPr>
            <w:r w:rsidRPr="00686458">
              <w:rPr>
                <w:rFonts w:ascii="Arial" w:eastAsia="Times New Roman" w:hAnsi="Arial" w:cs="Arial"/>
                <w:b/>
                <w:sz w:val="18"/>
                <w:szCs w:val="18"/>
                <w:lang w:eastAsia="bg-BG"/>
              </w:rPr>
              <w:t xml:space="preserve">Вид заеми: </w:t>
            </w:r>
            <w:r w:rsidRPr="00686458">
              <w:rPr>
                <w:rFonts w:ascii="Arial" w:eastAsia="Times New Roman" w:hAnsi="Arial" w:cs="Arial"/>
                <w:bCs/>
                <w:sz w:val="18"/>
                <w:szCs w:val="18"/>
                <w:lang w:eastAsia="bg-BG"/>
              </w:rPr>
              <w:t>новоотпуснати инвестиционни заеми</w:t>
            </w:r>
            <w:r w:rsidRPr="00686458">
              <w:rPr>
                <w:rFonts w:ascii="Arial" w:eastAsia="Times New Roman" w:hAnsi="Arial" w:cs="Arial"/>
                <w:sz w:val="18"/>
                <w:szCs w:val="18"/>
                <w:lang w:eastAsia="bg-BG"/>
              </w:rPr>
              <w:t xml:space="preserve"> и заеми за оборотни средства;</w:t>
            </w:r>
          </w:p>
          <w:p w:rsidR="00686458" w:rsidRPr="00686458" w:rsidRDefault="00686458" w:rsidP="00412A9F">
            <w:pPr>
              <w:keepNext/>
              <w:spacing w:after="0" w:line="240" w:lineRule="auto"/>
              <w:jc w:val="both"/>
              <w:rPr>
                <w:rFonts w:ascii="Arial" w:eastAsia="Times New Roman" w:hAnsi="Arial" w:cs="Arial"/>
                <w:sz w:val="18"/>
                <w:szCs w:val="18"/>
                <w:lang w:eastAsia="bg-BG"/>
              </w:rPr>
            </w:pPr>
          </w:p>
          <w:p w:rsidR="00686458" w:rsidRPr="00686458" w:rsidRDefault="00686458" w:rsidP="00412A9F">
            <w:pPr>
              <w:keepNext/>
              <w:spacing w:after="0" w:line="240" w:lineRule="auto"/>
              <w:jc w:val="both"/>
              <w:rPr>
                <w:rFonts w:ascii="Arial" w:eastAsia="Times New Roman" w:hAnsi="Arial" w:cs="Arial"/>
                <w:sz w:val="18"/>
                <w:szCs w:val="18"/>
                <w:lang w:eastAsia="bg-BG"/>
              </w:rPr>
            </w:pPr>
            <w:r w:rsidRPr="00686458">
              <w:rPr>
                <w:rFonts w:ascii="Arial" w:eastAsia="Times New Roman" w:hAnsi="Arial" w:cs="Arial"/>
                <w:b/>
                <w:sz w:val="18"/>
                <w:szCs w:val="18"/>
                <w:lang w:eastAsia="bg-BG"/>
              </w:rPr>
              <w:t>Максимален матуритет на заемите</w:t>
            </w:r>
            <w:r w:rsidRPr="00686458">
              <w:rPr>
                <w:rFonts w:ascii="Arial" w:eastAsia="Times New Roman" w:hAnsi="Arial" w:cs="Arial"/>
                <w:sz w:val="18"/>
                <w:szCs w:val="18"/>
                <w:lang w:eastAsia="bg-BG"/>
              </w:rPr>
              <w:t xml:space="preserve"> – 120 месеца за инвестиционните и 60 месеца за оборотните;</w:t>
            </w:r>
          </w:p>
          <w:p w:rsidR="00686458" w:rsidRPr="00686458" w:rsidRDefault="00686458" w:rsidP="00412A9F">
            <w:pPr>
              <w:keepNext/>
              <w:spacing w:after="0" w:line="240" w:lineRule="auto"/>
              <w:jc w:val="both"/>
              <w:rPr>
                <w:rFonts w:ascii="Arial" w:eastAsia="Times New Roman" w:hAnsi="Arial" w:cs="Arial"/>
                <w:sz w:val="18"/>
                <w:szCs w:val="18"/>
                <w:lang w:eastAsia="bg-BG"/>
              </w:rPr>
            </w:pPr>
          </w:p>
          <w:p w:rsidR="00686458" w:rsidRPr="00686458" w:rsidRDefault="00686458" w:rsidP="00412A9F">
            <w:pPr>
              <w:keepNext/>
              <w:spacing w:after="0" w:line="240" w:lineRule="auto"/>
              <w:jc w:val="both"/>
              <w:rPr>
                <w:rFonts w:ascii="Arial" w:eastAsia="Times New Roman" w:hAnsi="Arial" w:cs="Arial"/>
                <w:sz w:val="18"/>
                <w:szCs w:val="18"/>
                <w:lang w:eastAsia="bg-BG"/>
              </w:rPr>
            </w:pPr>
            <w:r w:rsidRPr="00686458">
              <w:rPr>
                <w:rFonts w:ascii="Arial" w:eastAsia="Times New Roman" w:hAnsi="Arial" w:cs="Arial"/>
                <w:b/>
                <w:sz w:val="18"/>
                <w:szCs w:val="18"/>
                <w:lang w:eastAsia="bg-BG"/>
              </w:rPr>
              <w:t>Минимален матуритет на заемите</w:t>
            </w:r>
            <w:r w:rsidRPr="00686458">
              <w:rPr>
                <w:rFonts w:ascii="Arial" w:eastAsia="Times New Roman" w:hAnsi="Arial" w:cs="Arial"/>
                <w:sz w:val="18"/>
                <w:szCs w:val="18"/>
                <w:lang w:eastAsia="bg-BG"/>
              </w:rPr>
              <w:t xml:space="preserve"> – 12 месеца;</w:t>
            </w:r>
          </w:p>
          <w:p w:rsidR="00686458" w:rsidRPr="00686458" w:rsidRDefault="00686458" w:rsidP="00412A9F">
            <w:pPr>
              <w:keepNext/>
              <w:spacing w:after="0" w:line="240" w:lineRule="auto"/>
              <w:jc w:val="both"/>
              <w:rPr>
                <w:rFonts w:ascii="Arial" w:eastAsia="Times New Roman" w:hAnsi="Arial" w:cs="Arial"/>
                <w:sz w:val="18"/>
                <w:szCs w:val="18"/>
                <w:lang w:eastAsia="bg-BG"/>
              </w:rPr>
            </w:pPr>
          </w:p>
          <w:p w:rsidR="00686458" w:rsidRPr="00686458" w:rsidRDefault="00686458" w:rsidP="00412A9F">
            <w:pPr>
              <w:keepNext/>
              <w:spacing w:after="0" w:line="240" w:lineRule="auto"/>
              <w:jc w:val="both"/>
              <w:rPr>
                <w:rFonts w:ascii="Arial" w:eastAsia="Times New Roman" w:hAnsi="Arial" w:cs="Arial"/>
                <w:sz w:val="18"/>
                <w:szCs w:val="18"/>
                <w:lang w:eastAsia="bg-BG"/>
              </w:rPr>
            </w:pPr>
            <w:r w:rsidRPr="00686458">
              <w:rPr>
                <w:rFonts w:ascii="Arial" w:eastAsia="Times New Roman" w:hAnsi="Arial" w:cs="Arial"/>
                <w:b/>
                <w:sz w:val="18"/>
                <w:szCs w:val="18"/>
                <w:lang w:eastAsia="bg-BG"/>
              </w:rPr>
              <w:t>Максимален размер на кредита</w:t>
            </w:r>
            <w:r w:rsidRPr="00686458">
              <w:rPr>
                <w:rFonts w:ascii="Arial" w:eastAsia="Times New Roman" w:hAnsi="Arial" w:cs="Arial"/>
                <w:sz w:val="18"/>
                <w:szCs w:val="18"/>
                <w:lang w:eastAsia="bg-BG"/>
              </w:rPr>
              <w:t>: до 2 млн. лв. за инвестиционни кредити; за оборотни кредити до 30% от общата инвестиция към съответния краен получател;</w:t>
            </w:r>
          </w:p>
          <w:p w:rsidR="00686458" w:rsidRPr="00686458" w:rsidRDefault="00686458" w:rsidP="00412A9F">
            <w:pPr>
              <w:keepNext/>
              <w:spacing w:after="0" w:line="240" w:lineRule="auto"/>
              <w:jc w:val="both"/>
              <w:rPr>
                <w:rFonts w:ascii="Arial" w:eastAsia="Times New Roman" w:hAnsi="Arial" w:cs="Arial"/>
                <w:sz w:val="18"/>
                <w:szCs w:val="18"/>
                <w:lang w:eastAsia="bg-BG"/>
              </w:rPr>
            </w:pPr>
          </w:p>
          <w:p w:rsidR="00686458" w:rsidRPr="00686458" w:rsidRDefault="00686458" w:rsidP="00412A9F">
            <w:pPr>
              <w:keepNext/>
              <w:spacing w:after="0" w:line="240" w:lineRule="auto"/>
              <w:jc w:val="both"/>
              <w:rPr>
                <w:rFonts w:ascii="Arial" w:eastAsia="Times New Roman" w:hAnsi="Arial" w:cs="Arial"/>
                <w:bCs/>
                <w:sz w:val="18"/>
                <w:szCs w:val="18"/>
                <w:lang w:eastAsia="bg-BG"/>
              </w:rPr>
            </w:pPr>
            <w:r w:rsidRPr="00686458">
              <w:rPr>
                <w:rFonts w:ascii="Arial" w:eastAsia="Times New Roman" w:hAnsi="Arial" w:cs="Arial"/>
                <w:b/>
                <w:sz w:val="18"/>
                <w:szCs w:val="18"/>
                <w:lang w:eastAsia="bg-BG"/>
              </w:rPr>
              <w:t xml:space="preserve">Срок на усвояване: </w:t>
            </w:r>
            <w:r w:rsidRPr="00686458">
              <w:rPr>
                <w:rFonts w:ascii="Arial" w:eastAsia="Times New Roman" w:hAnsi="Arial" w:cs="Arial"/>
                <w:bCs/>
                <w:sz w:val="18"/>
                <w:szCs w:val="18"/>
                <w:lang w:eastAsia="bg-BG"/>
              </w:rPr>
              <w:t>Периодът на предоставяне на подкрепа от финансовия инструмент се определя по начин, който да гарантира, че приносът на програмата, се използва за заеми, изплащани на крайните получатели не по-късно от 31 декември 2023 г.</w:t>
            </w:r>
          </w:p>
          <w:p w:rsidR="00686458" w:rsidRPr="00686458" w:rsidRDefault="00686458" w:rsidP="00412A9F">
            <w:pPr>
              <w:keepNext/>
              <w:spacing w:after="0" w:line="240" w:lineRule="auto"/>
              <w:jc w:val="both"/>
              <w:rPr>
                <w:rFonts w:ascii="Arial" w:eastAsia="Times New Roman" w:hAnsi="Arial" w:cs="Arial"/>
                <w:bCs/>
                <w:sz w:val="18"/>
                <w:szCs w:val="18"/>
                <w:lang w:eastAsia="bg-BG"/>
              </w:rPr>
            </w:pPr>
          </w:p>
          <w:p w:rsidR="00686458" w:rsidRPr="00686458" w:rsidRDefault="00686458" w:rsidP="00412A9F">
            <w:pPr>
              <w:keepNext/>
              <w:spacing w:after="0" w:line="240" w:lineRule="auto"/>
              <w:jc w:val="both"/>
              <w:rPr>
                <w:rFonts w:ascii="Arial" w:eastAsia="Times New Roman" w:hAnsi="Arial" w:cs="Arial"/>
                <w:sz w:val="18"/>
                <w:szCs w:val="18"/>
                <w:lang w:eastAsia="bg-BG"/>
              </w:rPr>
            </w:pPr>
          </w:p>
          <w:p w:rsidR="00686458" w:rsidRPr="00686458" w:rsidRDefault="00686458" w:rsidP="00412A9F">
            <w:pPr>
              <w:keepNext/>
              <w:spacing w:after="0" w:line="240" w:lineRule="auto"/>
              <w:jc w:val="both"/>
              <w:rPr>
                <w:rFonts w:ascii="Arial" w:eastAsia="Times New Roman" w:hAnsi="Arial" w:cs="Arial"/>
                <w:b/>
                <w:sz w:val="18"/>
                <w:szCs w:val="18"/>
                <w:lang w:eastAsia="bg-BG"/>
              </w:rPr>
            </w:pPr>
            <w:r w:rsidRPr="00686458">
              <w:rPr>
                <w:rFonts w:ascii="Arial" w:eastAsia="Times New Roman" w:hAnsi="Arial" w:cs="Arial"/>
                <w:b/>
                <w:sz w:val="18"/>
                <w:szCs w:val="18"/>
                <w:lang w:eastAsia="bg-BG"/>
              </w:rPr>
              <w:t xml:space="preserve">Лихва: </w:t>
            </w:r>
            <w:r w:rsidRPr="00686458">
              <w:rPr>
                <w:rFonts w:ascii="Arial" w:eastAsia="Times New Roman" w:hAnsi="Arial" w:cs="Arial"/>
                <w:sz w:val="18"/>
                <w:szCs w:val="18"/>
                <w:lang w:eastAsia="bg-BG"/>
              </w:rPr>
              <w:t xml:space="preserve">0% лихва за частта, финансирана с ресурс по ПРСР 2014-2020 и пазарни лихвени нива за частта от кредита, финансирана с ресурс от съфинансирането осигурено от финансовите посредници, определена в съответствие с ценовата политика на Финансовия посредник.  </w:t>
            </w:r>
          </w:p>
          <w:p w:rsidR="00686458" w:rsidRPr="00686458" w:rsidRDefault="00686458" w:rsidP="00412A9F">
            <w:pPr>
              <w:keepNext/>
              <w:spacing w:after="0" w:line="240" w:lineRule="auto"/>
              <w:jc w:val="both"/>
              <w:rPr>
                <w:rFonts w:ascii="Arial" w:eastAsia="Times New Roman" w:hAnsi="Arial" w:cs="Arial"/>
                <w:sz w:val="18"/>
                <w:szCs w:val="18"/>
                <w:lang w:eastAsia="bg-BG"/>
              </w:rPr>
            </w:pPr>
            <w:r w:rsidRPr="00686458">
              <w:rPr>
                <w:rFonts w:ascii="Arial" w:eastAsia="Times New Roman" w:hAnsi="Arial" w:cs="Arial"/>
                <w:sz w:val="18"/>
                <w:szCs w:val="18"/>
                <w:lang w:eastAsia="bg-BG"/>
              </w:rPr>
              <w:t>Лихвеният процент по общия размер на кредита представлява средно-претеглената стойност от:</w:t>
            </w:r>
          </w:p>
          <w:p w:rsidR="00686458" w:rsidRPr="00686458" w:rsidRDefault="00686458" w:rsidP="00412A9F">
            <w:pPr>
              <w:keepNext/>
              <w:spacing w:after="0" w:line="240" w:lineRule="auto"/>
              <w:jc w:val="both"/>
              <w:rPr>
                <w:rFonts w:ascii="Arial" w:eastAsia="Times New Roman" w:hAnsi="Arial" w:cs="Arial"/>
                <w:sz w:val="18"/>
                <w:szCs w:val="18"/>
                <w:lang w:eastAsia="bg-BG"/>
              </w:rPr>
            </w:pPr>
            <w:r w:rsidRPr="00686458">
              <w:rPr>
                <w:rFonts w:ascii="Arial" w:eastAsia="Times New Roman" w:hAnsi="Arial" w:cs="Arial"/>
                <w:sz w:val="18"/>
                <w:szCs w:val="18"/>
                <w:lang w:eastAsia="bg-BG"/>
              </w:rPr>
              <w:t>▪ лихвения процент по Финансирането от ПРСР – 0 % и</w:t>
            </w:r>
          </w:p>
          <w:p w:rsidR="00686458" w:rsidRPr="00686458" w:rsidRDefault="00686458" w:rsidP="00412A9F">
            <w:pPr>
              <w:keepNext/>
              <w:spacing w:after="0" w:line="240" w:lineRule="auto"/>
              <w:jc w:val="both"/>
              <w:rPr>
                <w:rFonts w:ascii="Arial" w:eastAsia="Times New Roman" w:hAnsi="Arial" w:cs="Arial"/>
                <w:sz w:val="18"/>
                <w:szCs w:val="18"/>
                <w:lang w:eastAsia="bg-BG"/>
              </w:rPr>
            </w:pPr>
            <w:r w:rsidRPr="00686458">
              <w:rPr>
                <w:rFonts w:ascii="Arial" w:eastAsia="Times New Roman" w:hAnsi="Arial" w:cs="Arial"/>
                <w:sz w:val="18"/>
                <w:szCs w:val="18"/>
                <w:lang w:eastAsia="bg-BG"/>
              </w:rPr>
              <w:t>▪ лихвения процент по Съфинансирането.</w:t>
            </w:r>
          </w:p>
          <w:p w:rsidR="00686458" w:rsidRPr="00686458" w:rsidRDefault="00686458" w:rsidP="00412A9F">
            <w:pPr>
              <w:keepNext/>
              <w:spacing w:after="0" w:line="240" w:lineRule="auto"/>
              <w:jc w:val="both"/>
              <w:rPr>
                <w:rFonts w:ascii="Arial" w:eastAsia="Times New Roman" w:hAnsi="Arial" w:cs="Arial"/>
                <w:sz w:val="18"/>
                <w:szCs w:val="18"/>
                <w:lang w:eastAsia="bg-BG"/>
              </w:rPr>
            </w:pPr>
          </w:p>
          <w:p w:rsidR="00686458" w:rsidRPr="00686458" w:rsidRDefault="00686458" w:rsidP="00412A9F">
            <w:pPr>
              <w:keepNext/>
              <w:spacing w:after="0" w:line="240" w:lineRule="auto"/>
              <w:jc w:val="both"/>
              <w:rPr>
                <w:rFonts w:ascii="Arial" w:eastAsia="Times New Roman" w:hAnsi="Arial" w:cs="Arial"/>
                <w:sz w:val="18"/>
                <w:szCs w:val="18"/>
                <w:lang w:eastAsia="bg-BG"/>
              </w:rPr>
            </w:pPr>
            <w:r w:rsidRPr="00686458">
              <w:rPr>
                <w:rFonts w:ascii="Arial" w:eastAsia="Times New Roman" w:hAnsi="Arial" w:cs="Arial"/>
                <w:b/>
                <w:sz w:val="18"/>
                <w:szCs w:val="18"/>
                <w:lang w:eastAsia="bg-BG"/>
              </w:rPr>
              <w:t>Валута:</w:t>
            </w:r>
            <w:r w:rsidRPr="00686458">
              <w:rPr>
                <w:rFonts w:ascii="Arial" w:eastAsia="Times New Roman" w:hAnsi="Arial" w:cs="Arial"/>
                <w:sz w:val="18"/>
                <w:szCs w:val="18"/>
                <w:lang w:eastAsia="bg-BG"/>
              </w:rPr>
              <w:t xml:space="preserve"> евро или лева.</w:t>
            </w:r>
          </w:p>
          <w:p w:rsidR="00686458" w:rsidRPr="00686458" w:rsidRDefault="00686458" w:rsidP="00412A9F">
            <w:pPr>
              <w:keepNext/>
              <w:spacing w:after="0" w:line="240" w:lineRule="auto"/>
              <w:jc w:val="both"/>
              <w:rPr>
                <w:rFonts w:ascii="Arial" w:eastAsia="Times New Roman" w:hAnsi="Arial" w:cs="Arial"/>
                <w:sz w:val="18"/>
                <w:szCs w:val="18"/>
                <w:lang w:eastAsia="bg-BG"/>
              </w:rPr>
            </w:pPr>
          </w:p>
          <w:p w:rsidR="00686458" w:rsidRPr="00686458" w:rsidRDefault="00686458" w:rsidP="00412A9F">
            <w:pPr>
              <w:keepNext/>
              <w:spacing w:after="0" w:line="240" w:lineRule="auto"/>
              <w:jc w:val="both"/>
              <w:rPr>
                <w:rFonts w:ascii="Arial" w:eastAsia="Times New Roman" w:hAnsi="Arial" w:cs="Arial"/>
                <w:sz w:val="18"/>
                <w:szCs w:val="18"/>
                <w:lang w:eastAsia="bg-BG"/>
              </w:rPr>
            </w:pPr>
            <w:r w:rsidRPr="00686458">
              <w:rPr>
                <w:rFonts w:ascii="Arial" w:eastAsia="Times New Roman" w:hAnsi="Arial" w:cs="Arial"/>
                <w:b/>
                <w:sz w:val="18"/>
                <w:szCs w:val="18"/>
                <w:lang w:eastAsia="bg-BG"/>
              </w:rPr>
              <w:t>Такси и комисиони:</w:t>
            </w:r>
            <w:r w:rsidRPr="00686458">
              <w:rPr>
                <w:rFonts w:ascii="Arial" w:hAnsi="Arial" w:cs="Arial"/>
              </w:rPr>
              <w:t xml:space="preserve"> </w:t>
            </w:r>
            <w:r w:rsidRPr="00686458">
              <w:rPr>
                <w:rFonts w:ascii="Arial" w:eastAsia="Times New Roman" w:hAnsi="Arial" w:cs="Arial"/>
                <w:sz w:val="18"/>
                <w:szCs w:val="18"/>
                <w:lang w:eastAsia="bg-BG"/>
              </w:rPr>
              <w:t xml:space="preserve">Финансовият посредник не следва да начислява на Крайния </w:t>
            </w:r>
            <w:r w:rsidRPr="00686458">
              <w:rPr>
                <w:rFonts w:ascii="Arial" w:eastAsia="Times New Roman" w:hAnsi="Arial" w:cs="Arial"/>
                <w:sz w:val="18"/>
                <w:szCs w:val="18"/>
                <w:lang w:eastAsia="bg-BG"/>
              </w:rPr>
              <w:lastRenderedPageBreak/>
              <w:t>получател такси, комисиони и други разходи, свързани с Финансирането от ФМФИБ, които се покриват от Възнаграждението за управление.</w:t>
            </w:r>
          </w:p>
          <w:p w:rsidR="00686458" w:rsidRPr="00686458" w:rsidRDefault="00686458" w:rsidP="00412A9F">
            <w:pPr>
              <w:keepNext/>
              <w:spacing w:after="0" w:line="240" w:lineRule="auto"/>
              <w:jc w:val="both"/>
              <w:rPr>
                <w:rFonts w:ascii="Arial" w:eastAsia="Times New Roman" w:hAnsi="Arial" w:cs="Arial"/>
                <w:sz w:val="18"/>
                <w:szCs w:val="18"/>
                <w:lang w:eastAsia="bg-BG"/>
              </w:rPr>
            </w:pPr>
          </w:p>
          <w:p w:rsidR="00686458" w:rsidRPr="00686458" w:rsidRDefault="00686458" w:rsidP="00412A9F">
            <w:pPr>
              <w:keepNext/>
              <w:spacing w:after="0" w:line="240" w:lineRule="auto"/>
              <w:jc w:val="both"/>
              <w:rPr>
                <w:rFonts w:ascii="Arial" w:eastAsia="Times New Roman" w:hAnsi="Arial" w:cs="Arial"/>
                <w:sz w:val="18"/>
                <w:szCs w:val="18"/>
                <w:lang w:eastAsia="bg-BG"/>
              </w:rPr>
            </w:pPr>
            <w:r w:rsidRPr="00686458">
              <w:rPr>
                <w:rFonts w:ascii="Arial" w:eastAsia="Times New Roman" w:hAnsi="Arial" w:cs="Arial"/>
                <w:sz w:val="18"/>
                <w:szCs w:val="18"/>
                <w:lang w:eastAsia="bg-BG"/>
              </w:rPr>
              <w:t>ФП могат да начисляват пазарни лихви, такси и комисиони върху предоставеното Съфинансиране, в съответствие с обичайната си практика.</w:t>
            </w:r>
          </w:p>
          <w:p w:rsidR="00686458" w:rsidRPr="00686458" w:rsidRDefault="00686458" w:rsidP="00412A9F">
            <w:pPr>
              <w:keepNext/>
              <w:spacing w:after="0" w:line="240" w:lineRule="auto"/>
              <w:jc w:val="both"/>
              <w:rPr>
                <w:rFonts w:ascii="Arial" w:eastAsia="Times New Roman" w:hAnsi="Arial" w:cs="Arial"/>
                <w:sz w:val="18"/>
                <w:szCs w:val="18"/>
                <w:lang w:eastAsia="bg-BG"/>
              </w:rPr>
            </w:pPr>
          </w:p>
          <w:p w:rsidR="00686458" w:rsidRPr="00686458" w:rsidRDefault="00686458" w:rsidP="00412A9F">
            <w:pPr>
              <w:keepNext/>
              <w:spacing w:after="0" w:line="240" w:lineRule="auto"/>
              <w:jc w:val="both"/>
              <w:rPr>
                <w:rFonts w:ascii="Arial" w:eastAsia="Times New Roman" w:hAnsi="Arial" w:cs="Arial"/>
                <w:b/>
                <w:bCs/>
                <w:sz w:val="18"/>
                <w:szCs w:val="18"/>
                <w:lang w:eastAsia="bg-BG"/>
              </w:rPr>
            </w:pPr>
            <w:r w:rsidRPr="00686458">
              <w:rPr>
                <w:rFonts w:ascii="Arial" w:eastAsia="Times New Roman" w:hAnsi="Arial" w:cs="Arial"/>
                <w:b/>
                <w:bCs/>
                <w:sz w:val="18"/>
                <w:szCs w:val="18"/>
                <w:lang w:eastAsia="bg-BG"/>
              </w:rPr>
              <w:t>Револвиращи кредити не са допустими</w:t>
            </w:r>
            <w:r w:rsidRPr="00686458">
              <w:rPr>
                <w:rFonts w:ascii="Arial" w:eastAsia="Times New Roman" w:hAnsi="Arial" w:cs="Arial"/>
                <w:sz w:val="18"/>
                <w:szCs w:val="18"/>
                <w:lang w:eastAsia="bg-BG"/>
              </w:rPr>
              <w:t>.</w:t>
            </w:r>
          </w:p>
        </w:tc>
      </w:tr>
      <w:tr w:rsidR="00686458" w:rsidRPr="00686458" w:rsidTr="00412A9F">
        <w:trPr>
          <w:trHeight w:val="155"/>
        </w:trPr>
        <w:tc>
          <w:tcPr>
            <w:tcW w:w="2127" w:type="dxa"/>
            <w:tcBorders>
              <w:top w:val="nil"/>
              <w:left w:val="single" w:sz="4" w:space="0" w:color="auto"/>
              <w:bottom w:val="single" w:sz="4" w:space="0" w:color="auto"/>
              <w:right w:val="single" w:sz="4" w:space="0" w:color="auto"/>
            </w:tcBorders>
            <w:shd w:val="clear" w:color="auto" w:fill="auto"/>
            <w:hideMark/>
          </w:tcPr>
          <w:p w:rsidR="00686458" w:rsidRPr="00686458" w:rsidRDefault="00686458" w:rsidP="00412A9F">
            <w:pPr>
              <w:spacing w:after="0" w:line="240" w:lineRule="auto"/>
              <w:rPr>
                <w:rFonts w:ascii="Arial" w:eastAsia="Times New Roman" w:hAnsi="Arial" w:cs="Arial"/>
                <w:color w:val="000000"/>
                <w:sz w:val="18"/>
                <w:szCs w:val="18"/>
                <w:lang w:eastAsia="bg-BG"/>
              </w:rPr>
            </w:pPr>
            <w:r w:rsidRPr="00686458">
              <w:rPr>
                <w:rFonts w:ascii="Arial" w:eastAsia="Times New Roman" w:hAnsi="Arial" w:cs="Arial"/>
                <w:color w:val="000000"/>
                <w:sz w:val="18"/>
                <w:szCs w:val="18"/>
                <w:lang w:eastAsia="bg-BG"/>
              </w:rPr>
              <w:lastRenderedPageBreak/>
              <w:t>Бюджет (вкл. ЕЗФРСР и национално съфинансиране)</w:t>
            </w:r>
          </w:p>
        </w:tc>
        <w:tc>
          <w:tcPr>
            <w:tcW w:w="7796" w:type="dxa"/>
            <w:tcBorders>
              <w:top w:val="nil"/>
              <w:left w:val="nil"/>
              <w:bottom w:val="single" w:sz="4" w:space="0" w:color="auto"/>
              <w:right w:val="single" w:sz="4" w:space="0" w:color="auto"/>
            </w:tcBorders>
            <w:shd w:val="clear" w:color="auto" w:fill="auto"/>
            <w:hideMark/>
          </w:tcPr>
          <w:p w:rsidR="00686458" w:rsidRPr="00686458" w:rsidRDefault="00686458" w:rsidP="00412A9F">
            <w:pPr>
              <w:spacing w:after="0" w:line="240" w:lineRule="auto"/>
              <w:jc w:val="both"/>
              <w:rPr>
                <w:rFonts w:ascii="Arial" w:eastAsia="Times New Roman" w:hAnsi="Arial" w:cs="Arial"/>
                <w:color w:val="000000"/>
                <w:sz w:val="18"/>
                <w:szCs w:val="18"/>
                <w:lang w:eastAsia="bg-BG"/>
              </w:rPr>
            </w:pPr>
          </w:p>
          <w:p w:rsidR="00686458" w:rsidRPr="00686458" w:rsidRDefault="00686458" w:rsidP="00412A9F">
            <w:pPr>
              <w:spacing w:after="0" w:line="240" w:lineRule="auto"/>
              <w:jc w:val="both"/>
              <w:rPr>
                <w:rFonts w:ascii="Arial" w:eastAsia="Times New Roman" w:hAnsi="Arial" w:cs="Arial"/>
                <w:color w:val="000000"/>
                <w:sz w:val="18"/>
                <w:szCs w:val="18"/>
                <w:lang w:eastAsia="bg-BG"/>
              </w:rPr>
            </w:pPr>
            <w:r w:rsidRPr="00686458">
              <w:rPr>
                <w:rFonts w:ascii="Arial" w:eastAsia="Times New Roman" w:hAnsi="Arial" w:cs="Arial"/>
                <w:color w:val="000000"/>
                <w:sz w:val="18"/>
                <w:szCs w:val="18"/>
                <w:lang w:eastAsia="bg-BG"/>
              </w:rPr>
              <w:t xml:space="preserve">20 млн. евро </w:t>
            </w:r>
          </w:p>
        </w:tc>
      </w:tr>
      <w:tr w:rsidR="00686458" w:rsidRPr="00686458" w:rsidTr="00412A9F">
        <w:trPr>
          <w:trHeight w:val="285"/>
        </w:trPr>
        <w:tc>
          <w:tcPr>
            <w:tcW w:w="2127" w:type="dxa"/>
            <w:tcBorders>
              <w:top w:val="nil"/>
              <w:left w:val="single" w:sz="4" w:space="0" w:color="auto"/>
              <w:bottom w:val="single" w:sz="4" w:space="0" w:color="auto"/>
              <w:right w:val="single" w:sz="4" w:space="0" w:color="auto"/>
            </w:tcBorders>
            <w:shd w:val="clear" w:color="auto" w:fill="auto"/>
            <w:hideMark/>
          </w:tcPr>
          <w:p w:rsidR="00686458" w:rsidRPr="00686458" w:rsidRDefault="00686458" w:rsidP="00412A9F">
            <w:pPr>
              <w:spacing w:after="0" w:line="240" w:lineRule="auto"/>
              <w:rPr>
                <w:rFonts w:ascii="Arial" w:eastAsia="Times New Roman" w:hAnsi="Arial" w:cs="Arial"/>
                <w:sz w:val="18"/>
                <w:szCs w:val="18"/>
                <w:lang w:eastAsia="bg-BG"/>
              </w:rPr>
            </w:pPr>
            <w:r w:rsidRPr="00686458">
              <w:rPr>
                <w:rFonts w:ascii="Arial" w:eastAsia="Times New Roman" w:hAnsi="Arial" w:cs="Arial"/>
                <w:sz w:val="18"/>
                <w:szCs w:val="18"/>
                <w:lang w:eastAsia="bg-BG"/>
              </w:rPr>
              <w:t>Очакван ефект на лоста</w:t>
            </w:r>
          </w:p>
        </w:tc>
        <w:tc>
          <w:tcPr>
            <w:tcW w:w="7796" w:type="dxa"/>
            <w:tcBorders>
              <w:top w:val="nil"/>
              <w:left w:val="nil"/>
              <w:bottom w:val="single" w:sz="4" w:space="0" w:color="auto"/>
              <w:right w:val="single" w:sz="4" w:space="0" w:color="auto"/>
            </w:tcBorders>
            <w:shd w:val="clear" w:color="auto" w:fill="auto"/>
            <w:hideMark/>
          </w:tcPr>
          <w:p w:rsidR="00686458" w:rsidRPr="00686458" w:rsidRDefault="00686458" w:rsidP="00412A9F">
            <w:pPr>
              <w:spacing w:after="0" w:line="240" w:lineRule="auto"/>
              <w:jc w:val="both"/>
              <w:rPr>
                <w:rFonts w:ascii="Arial" w:eastAsia="Times New Roman" w:hAnsi="Arial" w:cs="Arial"/>
                <w:sz w:val="18"/>
                <w:szCs w:val="18"/>
                <w:lang w:eastAsia="bg-BG"/>
              </w:rPr>
            </w:pPr>
            <w:r w:rsidRPr="00686458">
              <w:rPr>
                <w:rFonts w:ascii="Arial" w:eastAsia="Times New Roman" w:hAnsi="Arial" w:cs="Arial"/>
                <w:sz w:val="18"/>
                <w:szCs w:val="18"/>
                <w:lang w:eastAsia="bg-BG"/>
              </w:rPr>
              <w:t>По предложения ФИ всяко евро публични средства, ще активира между 2,2 евро (заеми за съфинансиране) и 1,6 евро (самостоятелни заеми) кредити.</w:t>
            </w:r>
          </w:p>
        </w:tc>
      </w:tr>
      <w:tr w:rsidR="00686458" w:rsidRPr="00686458" w:rsidTr="00412A9F">
        <w:trPr>
          <w:trHeight w:val="510"/>
        </w:trPr>
        <w:tc>
          <w:tcPr>
            <w:tcW w:w="2127" w:type="dxa"/>
            <w:tcBorders>
              <w:top w:val="nil"/>
              <w:left w:val="single" w:sz="4" w:space="0" w:color="auto"/>
              <w:bottom w:val="single" w:sz="4" w:space="0" w:color="auto"/>
              <w:right w:val="single" w:sz="4" w:space="0" w:color="auto"/>
            </w:tcBorders>
            <w:shd w:val="clear" w:color="auto" w:fill="auto"/>
            <w:hideMark/>
          </w:tcPr>
          <w:p w:rsidR="00686458" w:rsidRPr="00686458" w:rsidRDefault="00686458" w:rsidP="00412A9F">
            <w:pPr>
              <w:spacing w:after="0" w:line="240" w:lineRule="auto"/>
              <w:rPr>
                <w:rFonts w:ascii="Arial" w:eastAsia="Times New Roman" w:hAnsi="Arial" w:cs="Arial"/>
                <w:color w:val="000000"/>
                <w:sz w:val="18"/>
                <w:szCs w:val="18"/>
                <w:lang w:eastAsia="bg-BG"/>
              </w:rPr>
            </w:pPr>
            <w:r w:rsidRPr="00686458">
              <w:rPr>
                <w:rFonts w:ascii="Arial" w:eastAsia="Times New Roman" w:hAnsi="Arial" w:cs="Arial"/>
                <w:sz w:val="18"/>
                <w:szCs w:val="18"/>
                <w:lang w:eastAsia="bg-BG"/>
              </w:rPr>
              <w:t>Очакван общ ресурс на финансовия продукт (вкл. ефект на лоста)</w:t>
            </w:r>
          </w:p>
        </w:tc>
        <w:tc>
          <w:tcPr>
            <w:tcW w:w="7796" w:type="dxa"/>
            <w:tcBorders>
              <w:top w:val="nil"/>
              <w:left w:val="nil"/>
              <w:bottom w:val="single" w:sz="4" w:space="0" w:color="auto"/>
              <w:right w:val="single" w:sz="4" w:space="0" w:color="auto"/>
            </w:tcBorders>
            <w:shd w:val="clear" w:color="auto" w:fill="auto"/>
            <w:hideMark/>
          </w:tcPr>
          <w:p w:rsidR="00686458" w:rsidRPr="00686458" w:rsidRDefault="00686458" w:rsidP="00412A9F">
            <w:pPr>
              <w:spacing w:after="0" w:line="240" w:lineRule="auto"/>
              <w:jc w:val="both"/>
              <w:rPr>
                <w:rFonts w:ascii="Arial" w:eastAsia="Times New Roman" w:hAnsi="Arial" w:cs="Arial"/>
                <w:color w:val="000000"/>
                <w:sz w:val="18"/>
                <w:szCs w:val="18"/>
                <w:lang w:eastAsia="bg-BG"/>
              </w:rPr>
            </w:pPr>
            <w:r w:rsidRPr="00686458">
              <w:rPr>
                <w:rFonts w:ascii="Arial" w:hAnsi="Arial" w:cs="Arial"/>
                <w:bCs/>
                <w:sz w:val="18"/>
                <w:szCs w:val="18"/>
              </w:rPr>
              <w:t>31.43</w:t>
            </w:r>
            <w:r w:rsidR="003F07C2">
              <w:rPr>
                <w:rFonts w:ascii="Arial" w:hAnsi="Arial" w:cs="Arial"/>
                <w:bCs/>
                <w:sz w:val="18"/>
                <w:szCs w:val="18"/>
              </w:rPr>
              <w:t xml:space="preserve"> </w:t>
            </w:r>
            <w:r w:rsidRPr="00686458">
              <w:rPr>
                <w:rFonts w:ascii="Arial" w:eastAsia="Times New Roman" w:hAnsi="Arial" w:cs="Arial"/>
                <w:color w:val="000000"/>
                <w:sz w:val="18"/>
                <w:szCs w:val="18"/>
                <w:lang w:eastAsia="bg-BG"/>
              </w:rPr>
              <w:t xml:space="preserve">млн. евро </w:t>
            </w:r>
          </w:p>
        </w:tc>
      </w:tr>
      <w:tr w:rsidR="00686458" w:rsidRPr="00686458" w:rsidTr="00412A9F">
        <w:trPr>
          <w:trHeight w:val="510"/>
        </w:trPr>
        <w:tc>
          <w:tcPr>
            <w:tcW w:w="2127" w:type="dxa"/>
            <w:tcBorders>
              <w:top w:val="nil"/>
              <w:left w:val="single" w:sz="4" w:space="0" w:color="auto"/>
              <w:bottom w:val="single" w:sz="4" w:space="0" w:color="auto"/>
              <w:right w:val="single" w:sz="4" w:space="0" w:color="auto"/>
            </w:tcBorders>
            <w:shd w:val="clear" w:color="auto" w:fill="auto"/>
            <w:hideMark/>
          </w:tcPr>
          <w:p w:rsidR="00686458" w:rsidRPr="00686458" w:rsidRDefault="00686458" w:rsidP="00412A9F">
            <w:pPr>
              <w:spacing w:after="0" w:line="240" w:lineRule="auto"/>
              <w:rPr>
                <w:rFonts w:ascii="Arial" w:eastAsia="Times New Roman" w:hAnsi="Arial" w:cs="Arial"/>
                <w:color w:val="000000"/>
                <w:sz w:val="18"/>
                <w:szCs w:val="18"/>
                <w:lang w:eastAsia="bg-BG"/>
              </w:rPr>
            </w:pPr>
            <w:r w:rsidRPr="00686458">
              <w:rPr>
                <w:rFonts w:ascii="Arial" w:eastAsia="Times New Roman" w:hAnsi="Arial" w:cs="Arial"/>
                <w:sz w:val="18"/>
                <w:szCs w:val="18"/>
                <w:lang w:eastAsia="bg-BG"/>
              </w:rPr>
              <w:t xml:space="preserve"> Реинвестиране/рециклиране </w:t>
            </w:r>
          </w:p>
        </w:tc>
        <w:tc>
          <w:tcPr>
            <w:tcW w:w="7796" w:type="dxa"/>
            <w:tcBorders>
              <w:top w:val="nil"/>
              <w:left w:val="nil"/>
              <w:bottom w:val="single" w:sz="4" w:space="0" w:color="auto"/>
              <w:right w:val="single" w:sz="4" w:space="0" w:color="auto"/>
            </w:tcBorders>
            <w:shd w:val="clear" w:color="auto" w:fill="auto"/>
            <w:hideMark/>
          </w:tcPr>
          <w:p w:rsidR="00686458" w:rsidRPr="00686458" w:rsidRDefault="00686458" w:rsidP="00412A9F">
            <w:pPr>
              <w:spacing w:after="0" w:line="240" w:lineRule="auto"/>
              <w:jc w:val="both"/>
              <w:rPr>
                <w:rFonts w:ascii="Arial" w:eastAsia="Times New Roman" w:hAnsi="Arial" w:cs="Arial"/>
                <w:color w:val="000000"/>
                <w:sz w:val="18"/>
                <w:szCs w:val="18"/>
                <w:lang w:eastAsia="bg-BG"/>
              </w:rPr>
            </w:pPr>
            <w:r w:rsidRPr="00686458">
              <w:rPr>
                <w:rFonts w:ascii="Arial" w:eastAsia="Times New Roman" w:hAnsi="Arial" w:cs="Arial"/>
                <w:sz w:val="18"/>
                <w:szCs w:val="18"/>
                <w:lang w:eastAsia="bg-BG"/>
              </w:rPr>
              <w:t>Възможност за реинвестиране на възстановени средства</w:t>
            </w:r>
            <w:r w:rsidRPr="00686458" w:rsidDel="00FC6F1C">
              <w:rPr>
                <w:rFonts w:ascii="Arial" w:eastAsia="Times New Roman" w:hAnsi="Arial" w:cs="Arial"/>
                <w:color w:val="000000"/>
                <w:sz w:val="18"/>
                <w:szCs w:val="18"/>
                <w:lang w:eastAsia="bg-BG"/>
              </w:rPr>
              <w:t xml:space="preserve"> </w:t>
            </w:r>
            <w:r w:rsidRPr="00686458">
              <w:rPr>
                <w:rFonts w:ascii="Arial" w:eastAsia="Times New Roman" w:hAnsi="Arial" w:cs="Arial"/>
                <w:color w:val="000000"/>
                <w:sz w:val="18"/>
                <w:szCs w:val="18"/>
                <w:lang w:eastAsia="bg-BG"/>
              </w:rPr>
              <w:t>от крайни получатели на кредити от ФИ по ПРСР 2014-2020;</w:t>
            </w:r>
          </w:p>
        </w:tc>
      </w:tr>
    </w:tbl>
    <w:p w:rsidR="00686458" w:rsidRPr="00686458" w:rsidRDefault="00686458" w:rsidP="00686458">
      <w:pPr>
        <w:tabs>
          <w:tab w:val="left" w:pos="3364"/>
        </w:tabs>
        <w:jc w:val="both"/>
        <w:rPr>
          <w:rFonts w:ascii="Arial" w:hAnsi="Arial" w:cs="Arial"/>
          <w:i/>
          <w:iCs/>
          <w:sz w:val="20"/>
          <w:szCs w:val="20"/>
        </w:rPr>
      </w:pPr>
      <w:r w:rsidRPr="00686458">
        <w:rPr>
          <w:rFonts w:ascii="Arial" w:hAnsi="Arial" w:cs="Arial"/>
          <w:sz w:val="20"/>
          <w:szCs w:val="20"/>
        </w:rPr>
        <w:t xml:space="preserve"> </w:t>
      </w:r>
    </w:p>
    <w:p w:rsidR="00686458" w:rsidRDefault="00686458" w:rsidP="00686458">
      <w:pPr>
        <w:tabs>
          <w:tab w:val="left" w:pos="3364"/>
        </w:tabs>
        <w:jc w:val="both"/>
        <w:rPr>
          <w:rFonts w:ascii="Arial" w:hAnsi="Arial" w:cs="Arial"/>
          <w:i/>
          <w:iCs/>
          <w:sz w:val="20"/>
          <w:szCs w:val="20"/>
        </w:rPr>
      </w:pPr>
      <w:r w:rsidRPr="00686458">
        <w:rPr>
          <w:rFonts w:ascii="Arial" w:hAnsi="Arial" w:cs="Arial"/>
          <w:i/>
          <w:iCs/>
          <w:sz w:val="20"/>
          <w:szCs w:val="20"/>
        </w:rPr>
        <w:t xml:space="preserve">Очакван брой предприятия – 200, </w:t>
      </w:r>
      <w:r w:rsidR="003C7634">
        <w:rPr>
          <w:rFonts w:ascii="Arial" w:hAnsi="Arial" w:cs="Arial"/>
          <w:i/>
          <w:iCs/>
          <w:sz w:val="20"/>
          <w:szCs w:val="20"/>
        </w:rPr>
        <w:t>основно през първите две години.</w:t>
      </w:r>
    </w:p>
    <w:p w:rsidR="003F07C2" w:rsidRPr="00686458" w:rsidRDefault="003F07C2" w:rsidP="00686458">
      <w:pPr>
        <w:tabs>
          <w:tab w:val="left" w:pos="3364"/>
        </w:tabs>
        <w:jc w:val="both"/>
        <w:rPr>
          <w:rFonts w:ascii="Arial" w:hAnsi="Arial" w:cs="Arial"/>
          <w:i/>
          <w:iCs/>
          <w:sz w:val="20"/>
          <w:szCs w:val="20"/>
        </w:rPr>
      </w:pPr>
    </w:p>
    <w:p w:rsidR="00686458" w:rsidRDefault="00686458" w:rsidP="003F07C2">
      <w:pPr>
        <w:pStyle w:val="Heading3"/>
        <w:spacing w:after="120"/>
        <w:ind w:left="714"/>
        <w:jc w:val="center"/>
        <w:rPr>
          <w:rFonts w:ascii="Arial" w:hAnsi="Arial" w:cs="Arial"/>
          <w:b/>
          <w:color w:val="4F81BD" w:themeColor="accent1"/>
          <w:sz w:val="20"/>
          <w:szCs w:val="20"/>
          <w:lang w:val="bg-BG"/>
        </w:rPr>
      </w:pPr>
      <w:bookmarkStart w:id="6" w:name="_Toc536774128"/>
      <w:r w:rsidRPr="00686458">
        <w:rPr>
          <w:rFonts w:ascii="Arial" w:hAnsi="Arial" w:cs="Arial"/>
          <w:b/>
          <w:color w:val="4F81BD" w:themeColor="accent1"/>
          <w:sz w:val="20"/>
          <w:szCs w:val="20"/>
          <w:lang w:val="bg-BG"/>
        </w:rPr>
        <w:t>Важни изисквания и условия за успешното прилагане на ФИ</w:t>
      </w:r>
      <w:bookmarkEnd w:id="6"/>
    </w:p>
    <w:p w:rsidR="00686458" w:rsidRPr="00686458" w:rsidRDefault="00686458" w:rsidP="00686458">
      <w:pPr>
        <w:keepNext/>
        <w:jc w:val="both"/>
        <w:rPr>
          <w:rFonts w:ascii="Arial" w:hAnsi="Arial" w:cs="Arial"/>
          <w:b/>
          <w:sz w:val="20"/>
          <w:szCs w:val="20"/>
        </w:rPr>
      </w:pPr>
      <w:r w:rsidRPr="00686458">
        <w:rPr>
          <w:rFonts w:ascii="Arial" w:hAnsi="Arial" w:cs="Arial"/>
          <w:b/>
          <w:sz w:val="20"/>
          <w:szCs w:val="20"/>
        </w:rPr>
        <w:t>Основните изисквания и условия за успешното прилагане на ФИ в сектор „Земеделие“ са следните:</w:t>
      </w:r>
    </w:p>
    <w:p w:rsidR="00686458" w:rsidRPr="00686458" w:rsidRDefault="00686458" w:rsidP="00686458">
      <w:pPr>
        <w:pStyle w:val="ListParagraph"/>
        <w:numPr>
          <w:ilvl w:val="0"/>
          <w:numId w:val="8"/>
        </w:numPr>
        <w:jc w:val="both"/>
        <w:rPr>
          <w:rFonts w:ascii="Arial" w:hAnsi="Arial" w:cs="Arial"/>
          <w:b/>
          <w:sz w:val="20"/>
          <w:szCs w:val="20"/>
          <w:lang w:val="bg-BG"/>
        </w:rPr>
      </w:pPr>
      <w:r w:rsidRPr="00686458">
        <w:rPr>
          <w:rFonts w:ascii="Arial" w:hAnsi="Arial" w:cs="Arial"/>
          <w:b/>
          <w:sz w:val="20"/>
          <w:szCs w:val="20"/>
          <w:lang w:val="bg-BG"/>
        </w:rPr>
        <w:t xml:space="preserve">Калкулирането на помощта е в зависимост от подпомаганата дейност – земеделска или неземеделска. </w:t>
      </w:r>
      <w:r w:rsidRPr="00686458">
        <w:rPr>
          <w:rFonts w:ascii="Arial" w:hAnsi="Arial" w:cs="Arial"/>
          <w:bCs/>
          <w:sz w:val="20"/>
          <w:szCs w:val="20"/>
          <w:lang w:val="bg-BG"/>
        </w:rPr>
        <w:t>При земеделските дейности помощта е до 50% от допустимите разходи, като при кредити за съфинансиране на проекти в комбинирано финансиране с БФП следва да се съблюдава да не се надвишат максималните прагове на помощта, калкулирана по проекта от БФП и подкрепата от финансовия инструмент. При неземеделски дейности помощта се отчита по правилата de minimis.</w:t>
      </w:r>
    </w:p>
    <w:p w:rsidR="00686458" w:rsidRPr="00686458" w:rsidRDefault="00686458" w:rsidP="00686458">
      <w:pPr>
        <w:pStyle w:val="ListParagraph"/>
        <w:numPr>
          <w:ilvl w:val="0"/>
          <w:numId w:val="8"/>
        </w:numPr>
        <w:tabs>
          <w:tab w:val="left" w:pos="3364"/>
        </w:tabs>
        <w:jc w:val="both"/>
        <w:rPr>
          <w:rFonts w:ascii="Arial" w:hAnsi="Arial" w:cs="Arial"/>
          <w:sz w:val="20"/>
          <w:szCs w:val="20"/>
          <w:lang w:val="bg-BG"/>
        </w:rPr>
      </w:pPr>
      <w:r w:rsidRPr="00686458">
        <w:rPr>
          <w:rFonts w:ascii="Arial" w:hAnsi="Arial" w:cs="Arial"/>
          <w:b/>
          <w:bCs/>
          <w:sz w:val="20"/>
          <w:szCs w:val="20"/>
          <w:lang w:val="bg-BG"/>
        </w:rPr>
        <w:t>Препоръчително е минимум 50% от генерирания портфейл</w:t>
      </w:r>
      <w:r w:rsidRPr="00686458">
        <w:rPr>
          <w:rFonts w:ascii="Arial" w:hAnsi="Arial" w:cs="Arial"/>
          <w:sz w:val="20"/>
          <w:szCs w:val="20"/>
          <w:lang w:val="bg-BG"/>
        </w:rPr>
        <w:t xml:space="preserve"> да бъде насочен към микропредприятия или специални фокус групи (малки земеделски стопанства, млади фермери, фермери в планински райони и др.), като това условие може да се прилага частично в зависимост от инвестиционния фокус на финансовите посредници.</w:t>
      </w:r>
    </w:p>
    <w:p w:rsidR="00686458" w:rsidRPr="00686458" w:rsidRDefault="00686458" w:rsidP="00686458">
      <w:pPr>
        <w:pStyle w:val="ListParagraph"/>
        <w:numPr>
          <w:ilvl w:val="0"/>
          <w:numId w:val="8"/>
        </w:numPr>
        <w:tabs>
          <w:tab w:val="left" w:pos="3364"/>
        </w:tabs>
        <w:jc w:val="both"/>
        <w:rPr>
          <w:rFonts w:ascii="Arial" w:hAnsi="Arial" w:cs="Arial"/>
          <w:sz w:val="20"/>
          <w:szCs w:val="20"/>
          <w:lang w:val="bg-BG"/>
        </w:rPr>
      </w:pPr>
      <w:r w:rsidRPr="00686458">
        <w:rPr>
          <w:rFonts w:ascii="Arial" w:hAnsi="Arial" w:cs="Arial"/>
          <w:b/>
          <w:sz w:val="20"/>
          <w:szCs w:val="20"/>
          <w:lang w:val="bg-BG"/>
        </w:rPr>
        <w:t>Важно е финансовият инструмент да бъде добре капитализиран</w:t>
      </w:r>
      <w:r w:rsidRPr="00686458">
        <w:rPr>
          <w:rFonts w:ascii="Arial" w:hAnsi="Arial" w:cs="Arial"/>
          <w:sz w:val="20"/>
          <w:szCs w:val="20"/>
          <w:lang w:val="bg-BG"/>
        </w:rPr>
        <w:t xml:space="preserve"> доколкото от една страна следва да предизвика интереса на финансовите посредници, но от друга страна следва да се разпредели на достатъчно на брой посредници с оглед да бъде минимизиран риска от изкривяване на пазара.</w:t>
      </w:r>
    </w:p>
    <w:p w:rsidR="00686458" w:rsidRPr="00686458" w:rsidRDefault="00686458" w:rsidP="00686458">
      <w:pPr>
        <w:pStyle w:val="ListParagraph"/>
        <w:numPr>
          <w:ilvl w:val="0"/>
          <w:numId w:val="8"/>
        </w:numPr>
        <w:tabs>
          <w:tab w:val="left" w:pos="3364"/>
        </w:tabs>
        <w:jc w:val="both"/>
        <w:rPr>
          <w:rFonts w:ascii="Arial" w:hAnsi="Arial" w:cs="Arial"/>
          <w:sz w:val="20"/>
          <w:szCs w:val="20"/>
          <w:lang w:val="bg-BG"/>
        </w:rPr>
      </w:pPr>
      <w:r w:rsidRPr="00686458">
        <w:rPr>
          <w:rFonts w:ascii="Arial" w:hAnsi="Arial" w:cs="Arial"/>
          <w:b/>
          <w:sz w:val="20"/>
          <w:szCs w:val="20"/>
          <w:lang w:val="bg-BG"/>
        </w:rPr>
        <w:t>Следва да се потърсят допълнителни източници за финансиране</w:t>
      </w:r>
      <w:r w:rsidRPr="00686458">
        <w:rPr>
          <w:rFonts w:ascii="Arial" w:hAnsi="Arial" w:cs="Arial"/>
          <w:sz w:val="20"/>
          <w:szCs w:val="20"/>
          <w:lang w:val="bg-BG"/>
        </w:rPr>
        <w:t xml:space="preserve"> на инструмента с цел постигане на мащаб на инвестициите позволяващ ефективното структуриране и управление на финансовия инструмент. При привличане на допълнителен ресурс, важно е разходите по него да бъдат минимизирани с оглед запазване на атрактивността на инструмента. Поемането на първостепенния риск за сметка на ресурса от програмата ще позволи съществено намаляване на разходите по привлечения частен ресурс.</w:t>
      </w:r>
    </w:p>
    <w:p w:rsidR="00686458" w:rsidRPr="00686458" w:rsidRDefault="00686458" w:rsidP="00686458">
      <w:pPr>
        <w:pStyle w:val="ListParagraph"/>
        <w:numPr>
          <w:ilvl w:val="0"/>
          <w:numId w:val="8"/>
        </w:numPr>
        <w:tabs>
          <w:tab w:val="left" w:pos="3364"/>
        </w:tabs>
        <w:jc w:val="both"/>
        <w:rPr>
          <w:rFonts w:ascii="Arial" w:hAnsi="Arial" w:cs="Arial"/>
          <w:sz w:val="20"/>
          <w:szCs w:val="20"/>
          <w:lang w:val="bg-BG"/>
        </w:rPr>
      </w:pPr>
      <w:r w:rsidRPr="00686458">
        <w:rPr>
          <w:rFonts w:ascii="Arial" w:hAnsi="Arial" w:cs="Arial"/>
          <w:sz w:val="20"/>
          <w:szCs w:val="20"/>
          <w:lang w:val="bg-BG"/>
        </w:rPr>
        <w:t xml:space="preserve">Допълнителен ресурс може да се генерира и от ПМДР 2014-2020 или рециклираните средства от предходния програмен период. Програмата е с малък бюджет и сектора заема малък дял от общия % финансиране към сектор Селско, горско и рибно стопанство. В допълнение през новия програмен период предприятия които не са малки и средни ще могат да ползват подкрепа единствено посредством ФИ. Създаването на </w:t>
      </w:r>
      <w:r w:rsidRPr="00686458">
        <w:rPr>
          <w:rFonts w:ascii="Arial" w:hAnsi="Arial" w:cs="Arial"/>
          <w:sz w:val="20"/>
          <w:szCs w:val="20"/>
          <w:lang w:val="bg-BG"/>
        </w:rPr>
        <w:lastRenderedPageBreak/>
        <w:t>общ фонд ще увеличи ресурса и обхвата по програмата и ще подпомогне развитието на сектора като цяло.</w:t>
      </w:r>
    </w:p>
    <w:p w:rsidR="00686458" w:rsidRPr="003F07C2" w:rsidRDefault="00686458" w:rsidP="003F07C2">
      <w:pPr>
        <w:pStyle w:val="ListParagraph"/>
        <w:numPr>
          <w:ilvl w:val="0"/>
          <w:numId w:val="8"/>
        </w:numPr>
        <w:tabs>
          <w:tab w:val="left" w:pos="3364"/>
        </w:tabs>
        <w:jc w:val="both"/>
        <w:rPr>
          <w:rFonts w:ascii="Arial" w:hAnsi="Arial" w:cs="Arial"/>
          <w:sz w:val="20"/>
          <w:szCs w:val="20"/>
          <w:lang w:val="bg-BG"/>
        </w:rPr>
      </w:pPr>
      <w:r w:rsidRPr="00686458">
        <w:rPr>
          <w:rFonts w:ascii="Arial" w:hAnsi="Arial" w:cs="Arial"/>
          <w:sz w:val="20"/>
          <w:szCs w:val="20"/>
          <w:lang w:val="bg-BG"/>
        </w:rPr>
        <w:t>Следва да се отчита, че използването на ФИ е единствения възможен избор при някой инвестиции (вкл. промените по Регламент 2017/2393) и да се създават условия за финансиране на такъв тип инвестиции.</w:t>
      </w:r>
    </w:p>
    <w:p w:rsidR="00686458" w:rsidRPr="003F07C2" w:rsidRDefault="00686458" w:rsidP="003F07C2">
      <w:pPr>
        <w:pStyle w:val="ListParagraph"/>
        <w:numPr>
          <w:ilvl w:val="0"/>
          <w:numId w:val="8"/>
        </w:numPr>
        <w:tabs>
          <w:tab w:val="left" w:pos="3364"/>
        </w:tabs>
        <w:jc w:val="both"/>
        <w:rPr>
          <w:rFonts w:ascii="Arial" w:hAnsi="Arial" w:cs="Arial"/>
          <w:sz w:val="20"/>
          <w:szCs w:val="20"/>
          <w:lang w:val="bg-BG"/>
        </w:rPr>
      </w:pPr>
      <w:r w:rsidRPr="003F07C2">
        <w:rPr>
          <w:rFonts w:ascii="Arial" w:hAnsi="Arial" w:cs="Arial"/>
          <w:sz w:val="20"/>
          <w:szCs w:val="20"/>
          <w:lang w:val="bg-BG"/>
        </w:rPr>
        <w:t xml:space="preserve">При избора на финансови посредници ще  се стимулира предлагането на финансови продукт отговарящи на нуждите на предприятията в сектора от гледна точка на приемливи обезпечения, гъвкав погасителен план и др. </w:t>
      </w:r>
    </w:p>
    <w:p w:rsidR="00686458" w:rsidRPr="00686458" w:rsidRDefault="00686458" w:rsidP="00686458">
      <w:pPr>
        <w:pStyle w:val="Heading3"/>
        <w:spacing w:before="360" w:after="120"/>
        <w:ind w:left="714"/>
        <w:jc w:val="center"/>
        <w:rPr>
          <w:rFonts w:ascii="Arial" w:hAnsi="Arial" w:cs="Arial"/>
          <w:b/>
          <w:color w:val="4F81BD" w:themeColor="accent1"/>
          <w:sz w:val="20"/>
          <w:szCs w:val="20"/>
          <w:lang w:val="bg-BG"/>
        </w:rPr>
      </w:pPr>
      <w:bookmarkStart w:id="7" w:name="_Toc536773755"/>
      <w:bookmarkStart w:id="8" w:name="_Toc536773992"/>
      <w:bookmarkStart w:id="9" w:name="_Toc536773756"/>
      <w:bookmarkStart w:id="10" w:name="_Toc536773993"/>
      <w:bookmarkStart w:id="11" w:name="_Toc536774129"/>
      <w:bookmarkEnd w:id="7"/>
      <w:bookmarkEnd w:id="8"/>
      <w:bookmarkEnd w:id="9"/>
      <w:bookmarkEnd w:id="10"/>
      <w:r w:rsidRPr="00686458">
        <w:rPr>
          <w:rFonts w:ascii="Arial" w:hAnsi="Arial" w:cs="Arial"/>
          <w:b/>
          <w:color w:val="4F81BD" w:themeColor="accent1"/>
          <w:sz w:val="20"/>
          <w:szCs w:val="20"/>
          <w:lang w:val="bg-BG"/>
        </w:rPr>
        <w:t>Източници на съинвестиране и съфинансиране</w:t>
      </w:r>
      <w:bookmarkEnd w:id="11"/>
    </w:p>
    <w:p w:rsidR="00686458" w:rsidRPr="00686458" w:rsidRDefault="00686458" w:rsidP="00D23753">
      <w:pPr>
        <w:ind w:firstLine="708"/>
        <w:jc w:val="both"/>
        <w:rPr>
          <w:rFonts w:ascii="Arial" w:hAnsi="Arial" w:cs="Arial"/>
          <w:sz w:val="20"/>
          <w:szCs w:val="20"/>
        </w:rPr>
      </w:pPr>
      <w:r w:rsidRPr="00686458">
        <w:rPr>
          <w:rFonts w:ascii="Arial" w:hAnsi="Arial" w:cs="Arial"/>
          <w:bCs/>
          <w:iCs/>
          <w:sz w:val="20"/>
          <w:szCs w:val="20"/>
        </w:rPr>
        <w:t xml:space="preserve">На ниво </w:t>
      </w:r>
      <w:r w:rsidRPr="00686458">
        <w:rPr>
          <w:rFonts w:ascii="Arial" w:hAnsi="Arial" w:cs="Arial"/>
          <w:sz w:val="20"/>
          <w:szCs w:val="20"/>
        </w:rPr>
        <w:t xml:space="preserve">ФИ финансирането може да бъде предоставено от страна на избраните финансови посредници, изразяващо се в инвестиране на частно съфинансиране за допустими крайни получатели, в допълнение към ресурса на ПРСР 2014-2020. За предложените финансови продукти съфинансирането от страна на посредника е в размер на 30% при самостоятелните кредити и 50% - при заемите със съфинансиране в комбинация с БФП от ПРСР 2014-2020. </w:t>
      </w:r>
    </w:p>
    <w:p w:rsidR="00686458" w:rsidRPr="00686458" w:rsidRDefault="00686458" w:rsidP="00D23753">
      <w:pPr>
        <w:ind w:firstLine="708"/>
        <w:jc w:val="both"/>
        <w:rPr>
          <w:rFonts w:ascii="Arial" w:hAnsi="Arial" w:cs="Arial"/>
          <w:sz w:val="20"/>
          <w:szCs w:val="20"/>
        </w:rPr>
      </w:pPr>
      <w:r w:rsidRPr="00686458">
        <w:rPr>
          <w:rFonts w:ascii="Arial" w:hAnsi="Arial" w:cs="Arial"/>
          <w:sz w:val="20"/>
          <w:szCs w:val="20"/>
        </w:rPr>
        <w:t xml:space="preserve">На ниво крайни получатели по-високият процент на финансиране за самостоятелни заеми цели да направи инструмента по-атрактивен и да осигури по-голяма подкрепа за предприятия, които не ползват безвъзмездно финансиране по ПРСР. </w:t>
      </w:r>
      <w:bookmarkStart w:id="12" w:name="_Toc433786312"/>
      <w:bookmarkStart w:id="13" w:name="_Toc433786968"/>
      <w:bookmarkStart w:id="14" w:name="_Toc433787096"/>
      <w:bookmarkStart w:id="15" w:name="_Toc536774130"/>
      <w:bookmarkEnd w:id="12"/>
      <w:bookmarkEnd w:id="13"/>
      <w:bookmarkEnd w:id="14"/>
    </w:p>
    <w:p w:rsidR="00686458" w:rsidRPr="00686458" w:rsidRDefault="00686458" w:rsidP="00D23753">
      <w:pPr>
        <w:ind w:firstLine="708"/>
        <w:jc w:val="both"/>
        <w:rPr>
          <w:rFonts w:ascii="Arial" w:hAnsi="Arial" w:cs="Arial"/>
          <w:sz w:val="20"/>
          <w:szCs w:val="20"/>
        </w:rPr>
      </w:pPr>
      <w:r w:rsidRPr="00686458">
        <w:rPr>
          <w:rFonts w:ascii="Arial" w:hAnsi="Arial" w:cs="Arial"/>
          <w:sz w:val="20"/>
          <w:szCs w:val="20"/>
        </w:rPr>
        <w:t>Съгласно приложимите правила</w:t>
      </w:r>
      <w:r w:rsidRPr="00686458">
        <w:rPr>
          <w:rFonts w:ascii="Arial" w:hAnsi="Arial" w:cs="Arial"/>
        </w:rPr>
        <w:t xml:space="preserve"> </w:t>
      </w:r>
      <w:r w:rsidRPr="00686458">
        <w:rPr>
          <w:rFonts w:ascii="Arial" w:hAnsi="Arial" w:cs="Arial"/>
          <w:sz w:val="20"/>
          <w:szCs w:val="20"/>
        </w:rPr>
        <w:t xml:space="preserve">допълнителни източници на съинвестиране и съфинансиране могат да се предоставят на следните нива: </w:t>
      </w:r>
    </w:p>
    <w:p w:rsidR="00686458" w:rsidRPr="00686458" w:rsidRDefault="00686458" w:rsidP="00686458">
      <w:pPr>
        <w:pStyle w:val="ListParagraph"/>
        <w:numPr>
          <w:ilvl w:val="1"/>
          <w:numId w:val="9"/>
        </w:numPr>
        <w:jc w:val="both"/>
        <w:rPr>
          <w:rFonts w:ascii="Arial" w:hAnsi="Arial" w:cs="Arial"/>
          <w:sz w:val="20"/>
          <w:szCs w:val="20"/>
          <w:lang w:val="bg-BG"/>
        </w:rPr>
      </w:pPr>
      <w:r w:rsidRPr="00686458">
        <w:rPr>
          <w:rFonts w:ascii="Arial" w:hAnsi="Arial" w:cs="Arial"/>
          <w:sz w:val="20"/>
          <w:szCs w:val="20"/>
          <w:lang w:val="bg-BG"/>
        </w:rPr>
        <w:t>На ниво ФМФИБ;</w:t>
      </w:r>
    </w:p>
    <w:p w:rsidR="00686458" w:rsidRPr="00686458" w:rsidRDefault="00686458" w:rsidP="00686458">
      <w:pPr>
        <w:pStyle w:val="ListParagraph"/>
        <w:numPr>
          <w:ilvl w:val="1"/>
          <w:numId w:val="9"/>
        </w:numPr>
        <w:jc w:val="both"/>
        <w:rPr>
          <w:rFonts w:ascii="Arial" w:hAnsi="Arial" w:cs="Arial"/>
          <w:sz w:val="20"/>
          <w:szCs w:val="20"/>
          <w:lang w:val="bg-BG"/>
        </w:rPr>
      </w:pPr>
      <w:r w:rsidRPr="00686458">
        <w:rPr>
          <w:rFonts w:ascii="Arial" w:hAnsi="Arial" w:cs="Arial"/>
          <w:sz w:val="20"/>
          <w:szCs w:val="20"/>
          <w:lang w:val="bg-BG"/>
        </w:rPr>
        <w:t>На ниво финансов инструмент;</w:t>
      </w:r>
    </w:p>
    <w:p w:rsidR="00686458" w:rsidRPr="00686458" w:rsidRDefault="00686458" w:rsidP="00686458">
      <w:pPr>
        <w:pStyle w:val="ListParagraph"/>
        <w:numPr>
          <w:ilvl w:val="1"/>
          <w:numId w:val="9"/>
        </w:numPr>
        <w:jc w:val="both"/>
        <w:rPr>
          <w:rFonts w:ascii="Arial" w:hAnsi="Arial" w:cs="Arial"/>
          <w:sz w:val="20"/>
          <w:szCs w:val="20"/>
          <w:lang w:val="bg-BG"/>
        </w:rPr>
      </w:pPr>
      <w:r w:rsidRPr="00686458">
        <w:rPr>
          <w:rFonts w:ascii="Arial" w:hAnsi="Arial" w:cs="Arial"/>
          <w:sz w:val="20"/>
          <w:szCs w:val="20"/>
          <w:lang w:val="bg-BG"/>
        </w:rPr>
        <w:t>На ниво допустими инвестиционни проекти/ крайни получатели.</w:t>
      </w:r>
    </w:p>
    <w:p w:rsidR="00686458" w:rsidRPr="00686458" w:rsidRDefault="00686458" w:rsidP="00686458">
      <w:pPr>
        <w:jc w:val="both"/>
        <w:rPr>
          <w:rFonts w:ascii="Arial" w:hAnsi="Arial" w:cs="Arial"/>
          <w:b/>
          <w:sz w:val="20"/>
          <w:szCs w:val="20"/>
        </w:rPr>
      </w:pPr>
      <w:r w:rsidRPr="00686458">
        <w:rPr>
          <w:rFonts w:ascii="Arial" w:hAnsi="Arial" w:cs="Arial"/>
          <w:b/>
          <w:sz w:val="20"/>
          <w:szCs w:val="20"/>
        </w:rPr>
        <w:t>Финансиране на ниво ФМФИБ</w:t>
      </w:r>
    </w:p>
    <w:p w:rsidR="00686458" w:rsidRPr="00686458" w:rsidRDefault="00686458" w:rsidP="00D23753">
      <w:pPr>
        <w:ind w:firstLine="708"/>
        <w:jc w:val="both"/>
        <w:rPr>
          <w:rFonts w:ascii="Arial" w:hAnsi="Arial" w:cs="Arial"/>
          <w:sz w:val="20"/>
          <w:szCs w:val="20"/>
        </w:rPr>
      </w:pPr>
      <w:r w:rsidRPr="00686458">
        <w:rPr>
          <w:rFonts w:ascii="Arial" w:hAnsi="Arial" w:cs="Arial"/>
          <w:sz w:val="20"/>
          <w:szCs w:val="20"/>
        </w:rPr>
        <w:t xml:space="preserve">Предвид обхвата на финансовия инструмент по ПРСР не се очаква интерес от страна на МФИ или други финансови институции, желаещи да предоставят финансиране за ФИ по ПРСР на ниво ФМФИБ. </w:t>
      </w:r>
    </w:p>
    <w:p w:rsidR="00686458" w:rsidRPr="00686458" w:rsidRDefault="00686458" w:rsidP="00686458">
      <w:pPr>
        <w:jc w:val="both"/>
        <w:rPr>
          <w:rFonts w:ascii="Arial" w:hAnsi="Arial" w:cs="Arial"/>
          <w:b/>
          <w:sz w:val="20"/>
          <w:szCs w:val="20"/>
        </w:rPr>
      </w:pPr>
      <w:r w:rsidRPr="00686458">
        <w:rPr>
          <w:rFonts w:ascii="Arial" w:hAnsi="Arial" w:cs="Arial"/>
          <w:b/>
          <w:sz w:val="20"/>
          <w:szCs w:val="20"/>
        </w:rPr>
        <w:t>Финансиране на ниво ФИ</w:t>
      </w:r>
    </w:p>
    <w:p w:rsidR="00686458" w:rsidRPr="00686458" w:rsidRDefault="00686458" w:rsidP="00D23753">
      <w:pPr>
        <w:ind w:firstLine="708"/>
        <w:jc w:val="both"/>
        <w:rPr>
          <w:rFonts w:ascii="Arial" w:hAnsi="Arial" w:cs="Arial"/>
          <w:sz w:val="20"/>
          <w:szCs w:val="20"/>
        </w:rPr>
      </w:pPr>
      <w:r w:rsidRPr="00686458">
        <w:rPr>
          <w:rFonts w:ascii="Arial" w:hAnsi="Arial" w:cs="Arial"/>
          <w:sz w:val="20"/>
          <w:szCs w:val="20"/>
        </w:rPr>
        <w:t xml:space="preserve">Финансирането на ниво ФИ ще бъде предоставено от страна на избраните финансови посредници, което ще бъде осигурено чрез подходящи механизми в процеса на процедурата за избор на финансови посредници. Съфинансирането ще се предоставя при спазване на принципа pari passu при инвестирането на частно съфинансиране и средства от ПРСР 2014-2020 за допустими крайни получатели. </w:t>
      </w:r>
    </w:p>
    <w:p w:rsidR="00686458" w:rsidRPr="00686458" w:rsidRDefault="00686458" w:rsidP="00686458">
      <w:pPr>
        <w:jc w:val="both"/>
        <w:rPr>
          <w:rFonts w:ascii="Arial" w:hAnsi="Arial" w:cs="Arial"/>
          <w:b/>
          <w:sz w:val="20"/>
          <w:szCs w:val="20"/>
        </w:rPr>
      </w:pPr>
      <w:r w:rsidRPr="00686458">
        <w:rPr>
          <w:rFonts w:ascii="Arial" w:hAnsi="Arial" w:cs="Arial"/>
          <w:b/>
          <w:sz w:val="20"/>
          <w:szCs w:val="20"/>
        </w:rPr>
        <w:t>Финансиране на ниво проекти/ крайни получатели (съфинансиране)</w:t>
      </w:r>
    </w:p>
    <w:p w:rsidR="00686458" w:rsidRDefault="00686458" w:rsidP="00D23753">
      <w:pPr>
        <w:ind w:firstLine="708"/>
        <w:jc w:val="both"/>
        <w:rPr>
          <w:rFonts w:ascii="Arial" w:hAnsi="Arial" w:cs="Arial"/>
          <w:sz w:val="20"/>
          <w:szCs w:val="20"/>
        </w:rPr>
      </w:pPr>
      <w:r w:rsidRPr="00686458">
        <w:rPr>
          <w:rFonts w:ascii="Arial" w:hAnsi="Arial" w:cs="Arial"/>
          <w:sz w:val="20"/>
          <w:szCs w:val="20"/>
        </w:rPr>
        <w:t>В  зависимост от наличието на жизнеспособни проекти допълнителни частни инвестиции (включително съфинансиране от други финансови източници или от самия КП) могат да бъдат привлечени на ниво проекти, изпълнявани от КП. В този случай, следва да се подчертае че съфинансирането от страна на самия КП не се взема предвид при изчисляване на действителния ефект на лоста, съгласно посоченото в следващия раздел.</w:t>
      </w:r>
    </w:p>
    <w:p w:rsidR="003C7634" w:rsidRDefault="003C7634" w:rsidP="003C7634">
      <w:pPr>
        <w:pStyle w:val="ListParagraph"/>
        <w:jc w:val="center"/>
        <w:rPr>
          <w:rFonts w:ascii="Arial" w:eastAsiaTheme="minorEastAsia" w:hAnsi="Arial" w:cs="Arial"/>
          <w:sz w:val="20"/>
          <w:szCs w:val="20"/>
          <w:lang w:val="bg-BG" w:eastAsia="zh-TW"/>
        </w:rPr>
      </w:pPr>
    </w:p>
    <w:p w:rsidR="003C7634" w:rsidRDefault="003C7634" w:rsidP="003C7634">
      <w:pPr>
        <w:pStyle w:val="ListParagraph"/>
        <w:jc w:val="center"/>
        <w:rPr>
          <w:rFonts w:ascii="Arial" w:eastAsiaTheme="minorEastAsia" w:hAnsi="Arial" w:cs="Arial"/>
          <w:sz w:val="20"/>
          <w:szCs w:val="20"/>
          <w:lang w:val="bg-BG" w:eastAsia="zh-TW"/>
        </w:rPr>
      </w:pPr>
    </w:p>
    <w:p w:rsidR="003C7634" w:rsidRDefault="003C7634" w:rsidP="003C7634">
      <w:pPr>
        <w:pStyle w:val="ListParagraph"/>
        <w:jc w:val="center"/>
        <w:rPr>
          <w:rFonts w:ascii="Arial" w:eastAsiaTheme="minorEastAsia" w:hAnsi="Arial" w:cs="Arial"/>
          <w:sz w:val="20"/>
          <w:szCs w:val="20"/>
          <w:lang w:val="bg-BG" w:eastAsia="zh-TW"/>
        </w:rPr>
      </w:pPr>
    </w:p>
    <w:p w:rsidR="003C7634" w:rsidRDefault="003C7634" w:rsidP="003C7634">
      <w:pPr>
        <w:pStyle w:val="ListParagraph"/>
        <w:jc w:val="center"/>
        <w:rPr>
          <w:rFonts w:ascii="Arial" w:eastAsiaTheme="minorEastAsia" w:hAnsi="Arial" w:cs="Arial"/>
          <w:sz w:val="20"/>
          <w:szCs w:val="20"/>
          <w:lang w:val="bg-BG" w:eastAsia="zh-TW"/>
        </w:rPr>
      </w:pPr>
    </w:p>
    <w:p w:rsidR="00686458" w:rsidRPr="00686458" w:rsidRDefault="00686458" w:rsidP="003C7634">
      <w:pPr>
        <w:pStyle w:val="ListParagraph"/>
        <w:jc w:val="center"/>
        <w:rPr>
          <w:rFonts w:ascii="Arial" w:hAnsi="Arial" w:cs="Arial"/>
          <w:b/>
          <w:color w:val="4F81BD" w:themeColor="accent1"/>
          <w:sz w:val="20"/>
          <w:szCs w:val="20"/>
          <w:lang w:val="bg-BG"/>
        </w:rPr>
      </w:pPr>
      <w:r w:rsidRPr="00686458">
        <w:rPr>
          <w:rFonts w:ascii="Arial" w:hAnsi="Arial" w:cs="Arial"/>
          <w:b/>
          <w:color w:val="4F81BD" w:themeColor="accent1"/>
          <w:sz w:val="20"/>
          <w:szCs w:val="20"/>
          <w:lang w:val="bg-BG"/>
        </w:rPr>
        <w:lastRenderedPageBreak/>
        <w:t>Лостов ефект на заемния продукт</w:t>
      </w:r>
      <w:bookmarkEnd w:id="15"/>
    </w:p>
    <w:p w:rsidR="00686458" w:rsidRPr="00686458" w:rsidRDefault="00686458" w:rsidP="00D23753">
      <w:pPr>
        <w:pStyle w:val="Heading3"/>
        <w:spacing w:before="360"/>
        <w:ind w:firstLine="708"/>
        <w:jc w:val="both"/>
        <w:rPr>
          <w:rFonts w:ascii="Arial" w:eastAsia="MS Mincho" w:hAnsi="Arial" w:cs="Arial"/>
          <w:color w:val="auto"/>
          <w:sz w:val="20"/>
          <w:szCs w:val="20"/>
          <w:lang w:val="bg-BG" w:eastAsia="ja-JP"/>
        </w:rPr>
      </w:pPr>
      <w:r w:rsidRPr="00686458">
        <w:rPr>
          <w:rFonts w:ascii="Arial" w:eastAsia="MS Mincho" w:hAnsi="Arial" w:cs="Arial"/>
          <w:color w:val="auto"/>
          <w:sz w:val="20"/>
          <w:szCs w:val="20"/>
          <w:lang w:val="bg-BG" w:eastAsia="ja-JP"/>
        </w:rPr>
        <w:t xml:space="preserve">Лостовият  ефект, който ще се постигне е съобразен с очакваните нива на лостов ефект, идентифицирани в предварителната оценка за изпълнение на ФИ по ПРСР 2014-2020. Стойностите на ефекта на лоста са изчислени, съобразно механизма посочен в Насоките на ЕК </w:t>
      </w:r>
      <w:r w:rsidRPr="00686458">
        <w:rPr>
          <w:rStyle w:val="FootnoteReference"/>
          <w:rFonts w:ascii="Arial" w:eastAsia="MS Mincho" w:hAnsi="Arial" w:cs="Arial"/>
          <w:color w:val="auto"/>
          <w:sz w:val="20"/>
          <w:szCs w:val="20"/>
          <w:lang w:val="bg-BG" w:eastAsia="ja-JP"/>
        </w:rPr>
        <w:footnoteReference w:id="5"/>
      </w:r>
      <w:r w:rsidRPr="00686458">
        <w:rPr>
          <w:rFonts w:ascii="Arial" w:eastAsia="MS Mincho" w:hAnsi="Arial" w:cs="Arial"/>
          <w:color w:val="auto"/>
          <w:sz w:val="20"/>
          <w:szCs w:val="20"/>
          <w:lang w:val="bg-BG" w:eastAsia="ja-JP"/>
        </w:rPr>
        <w:t xml:space="preserve"> по чл.46 за отчитането на финансовите инструменти и във връзка с чл.37 (2), б. „в“, лостов ефект. В тази  връзка следва да се има предвид, че представените стойности на ефект на лоста и средства, които ще бъдат предоставени на крайни получатели са индикативни и могат да претърпят промени в зависимост от размера на средствата разходвани за такси и разходи за управление. Всички изчисления на очакваните нива на лостовия ефект, представени са извършени на базата на методологията, посочена в Насоките на ЕК и при използване на следната формула:</w:t>
      </w:r>
    </w:p>
    <w:p w:rsidR="00686458" w:rsidRPr="00686458" w:rsidRDefault="00686458" w:rsidP="00686458">
      <w:pPr>
        <w:spacing w:after="120" w:line="240" w:lineRule="auto"/>
        <w:contextualSpacing/>
        <w:jc w:val="both"/>
        <w:rPr>
          <w:rFonts w:ascii="Arial" w:eastAsia="MS Mincho" w:hAnsi="Arial" w:cs="Arial"/>
          <w:lang w:eastAsia="ja-JP"/>
        </w:rPr>
      </w:pPr>
    </w:p>
    <w:p w:rsidR="00686458" w:rsidRPr="00686458" w:rsidRDefault="00686458" w:rsidP="00686458">
      <w:pPr>
        <w:spacing w:after="120" w:line="240" w:lineRule="auto"/>
        <w:contextualSpacing/>
        <w:jc w:val="both"/>
        <w:rPr>
          <w:rFonts w:ascii="Arial" w:eastAsia="MS Mincho" w:hAnsi="Arial" w:cs="Arial"/>
          <w:lang w:eastAsia="ja-JP"/>
        </w:rPr>
      </w:pPr>
      <m:oMathPara>
        <m:oMath>
          <m:r>
            <w:rPr>
              <w:rFonts w:ascii="Cambria Math" w:eastAsia="MS Mincho" w:hAnsi="Cambria Math" w:cs="Arial"/>
              <w:lang w:eastAsia="ja-JP"/>
            </w:rPr>
            <m:t>Лостов ефект</m:t>
          </m:r>
          <m:r>
            <m:rPr>
              <m:sty m:val="p"/>
            </m:rPr>
            <w:rPr>
              <w:rFonts w:ascii="Cambria Math" w:eastAsia="MS Mincho" w:hAnsi="Cambria Math" w:cs="Arial"/>
              <w:lang w:eastAsia="ja-JP"/>
            </w:rPr>
            <m:t>=</m:t>
          </m:r>
          <m:f>
            <m:fPr>
              <m:ctrlPr>
                <w:rPr>
                  <w:rFonts w:ascii="Cambria Math" w:eastAsia="MS Mincho" w:hAnsi="Cambria Math" w:cs="Arial"/>
                  <w:lang w:eastAsia="ja-JP"/>
                </w:rPr>
              </m:ctrlPr>
            </m:fPr>
            <m:num>
              <m:eqArr>
                <m:eqArrPr>
                  <m:ctrlPr>
                    <w:rPr>
                      <w:rFonts w:ascii="Cambria Math" w:eastAsia="MS Mincho" w:hAnsi="Cambria Math" w:cs="Arial"/>
                      <w:lang w:eastAsia="ja-JP"/>
                    </w:rPr>
                  </m:ctrlPr>
                </m:eqArrPr>
                <m:e>
                  <m:r>
                    <m:rPr>
                      <m:sty m:val="p"/>
                    </m:rPr>
                    <w:rPr>
                      <w:rFonts w:ascii="Cambria Math" w:eastAsia="MS Mincho" w:hAnsi="Cambria Math" w:cs="Arial"/>
                      <w:lang w:eastAsia="ja-JP"/>
                    </w:rPr>
                    <m:t xml:space="preserve">Общ размер на очакваното финансиране </m:t>
                  </m:r>
                </m:e>
                <m:e>
                  <m:r>
                    <m:rPr>
                      <m:sty m:val="p"/>
                    </m:rPr>
                    <w:rPr>
                      <w:rFonts w:ascii="Cambria Math" w:eastAsia="MS Mincho" w:hAnsi="Cambria Math" w:cs="Arial"/>
                      <w:lang w:eastAsia="ja-JP"/>
                    </w:rPr>
                    <m:t xml:space="preserve">на допустими КП под формата </m:t>
                  </m:r>
                  <m:r>
                    <w:rPr>
                      <w:rFonts w:ascii="Cambria Math" w:eastAsia="MS Mincho" w:hAnsi="Cambria Math" w:cs="Arial"/>
                      <w:lang w:eastAsia="ja-JP"/>
                    </w:rPr>
                    <m:t>н</m:t>
                  </m:r>
                  <m:r>
                    <m:rPr>
                      <m:sty m:val="p"/>
                    </m:rPr>
                    <w:rPr>
                      <w:rFonts w:ascii="Cambria Math" w:eastAsia="MS Mincho" w:hAnsi="Cambria Math" w:cs="Arial"/>
                      <w:lang w:eastAsia="ja-JP"/>
                    </w:rPr>
                    <m:t>а заеми</m:t>
                  </m:r>
                </m:e>
              </m:eqArr>
            </m:num>
            <m:den>
              <m:r>
                <m:rPr>
                  <m:sty m:val="p"/>
                </m:rPr>
                <w:rPr>
                  <w:rFonts w:ascii="Cambria Math" w:eastAsia="MS Mincho" w:hAnsi="Cambria Math" w:cs="Arial"/>
                  <w:lang w:eastAsia="ja-JP"/>
                </w:rPr>
                <m:t>Средства по ЕЗФРСР, договорени за ФИ</m:t>
              </m:r>
            </m:den>
          </m:f>
        </m:oMath>
      </m:oMathPara>
    </w:p>
    <w:p w:rsidR="00686458" w:rsidRPr="00686458" w:rsidRDefault="00686458" w:rsidP="00686458">
      <w:pPr>
        <w:spacing w:after="120" w:line="240" w:lineRule="auto"/>
        <w:contextualSpacing/>
        <w:jc w:val="both"/>
        <w:rPr>
          <w:rFonts w:ascii="Arial" w:eastAsia="MS Mincho" w:hAnsi="Arial" w:cs="Arial"/>
          <w:lang w:eastAsia="ja-JP"/>
        </w:rPr>
      </w:pPr>
    </w:p>
    <w:p w:rsidR="00686458" w:rsidRPr="00686458" w:rsidRDefault="00686458" w:rsidP="00686458">
      <w:pPr>
        <w:spacing w:after="120" w:line="240" w:lineRule="auto"/>
        <w:contextualSpacing/>
        <w:jc w:val="both"/>
        <w:rPr>
          <w:rFonts w:ascii="Arial" w:eastAsia="MS Mincho" w:hAnsi="Arial" w:cs="Arial"/>
          <w:sz w:val="20"/>
          <w:szCs w:val="20"/>
          <w:lang w:eastAsia="ja-JP"/>
        </w:rPr>
      </w:pPr>
      <w:r w:rsidRPr="00686458">
        <w:rPr>
          <w:rFonts w:ascii="Arial" w:eastAsia="MS Mincho" w:hAnsi="Arial" w:cs="Arial"/>
          <w:sz w:val="20"/>
          <w:szCs w:val="20"/>
          <w:lang w:eastAsia="ja-JP"/>
        </w:rPr>
        <w:t>Където:</w:t>
      </w:r>
    </w:p>
    <w:p w:rsidR="00686458" w:rsidRPr="00686458" w:rsidRDefault="00686458" w:rsidP="00686458">
      <w:pPr>
        <w:spacing w:after="120" w:line="240" w:lineRule="auto"/>
        <w:contextualSpacing/>
        <w:jc w:val="both"/>
        <w:rPr>
          <w:rFonts w:ascii="Arial" w:eastAsia="MS Mincho" w:hAnsi="Arial" w:cs="Arial"/>
          <w:sz w:val="20"/>
          <w:szCs w:val="20"/>
          <w:lang w:eastAsia="ja-JP"/>
        </w:rPr>
      </w:pPr>
      <w:r w:rsidRPr="00686458">
        <w:rPr>
          <w:rFonts w:ascii="Arial" w:eastAsia="MS Mincho" w:hAnsi="Arial" w:cs="Arial"/>
          <w:b/>
          <w:sz w:val="20"/>
          <w:szCs w:val="20"/>
          <w:lang w:eastAsia="ja-JP"/>
        </w:rPr>
        <w:t>Общият размер на очакваното финансиране на допустими КП под формата на заеми</w:t>
      </w:r>
      <w:r w:rsidRPr="00686458">
        <w:rPr>
          <w:rFonts w:ascii="Arial" w:eastAsia="MS Mincho" w:hAnsi="Arial" w:cs="Arial"/>
          <w:sz w:val="20"/>
          <w:szCs w:val="20"/>
          <w:lang w:eastAsia="ja-JP"/>
        </w:rPr>
        <w:t xml:space="preserve"> e прогноза за общия размер на средствата, които се очаква да достигнат до КП, които отговарят на условията за подпомагане по финансовия инструмент и са мобилизирани от финансовия инструмент. </w:t>
      </w:r>
    </w:p>
    <w:p w:rsidR="00686458" w:rsidRPr="00686458" w:rsidRDefault="00686458" w:rsidP="00686458">
      <w:pPr>
        <w:spacing w:after="120" w:line="240" w:lineRule="auto"/>
        <w:contextualSpacing/>
        <w:jc w:val="both"/>
        <w:rPr>
          <w:rFonts w:ascii="Arial" w:eastAsia="MS Mincho" w:hAnsi="Arial" w:cs="Arial"/>
          <w:sz w:val="20"/>
          <w:szCs w:val="20"/>
          <w:lang w:eastAsia="ja-JP"/>
        </w:rPr>
      </w:pPr>
      <w:r w:rsidRPr="00686458">
        <w:rPr>
          <w:rFonts w:ascii="Arial" w:eastAsia="MS Mincho" w:hAnsi="Arial" w:cs="Arial"/>
          <w:sz w:val="20"/>
          <w:szCs w:val="20"/>
          <w:lang w:eastAsia="ja-JP"/>
        </w:rPr>
        <w:t>Тази прогноза е равна на общия обем на финансиране, който се очаква да бъде предоставен на КП от финансовия инструмент и е определена като сума от:</w:t>
      </w:r>
    </w:p>
    <w:p w:rsidR="00686458" w:rsidRPr="00686458" w:rsidRDefault="00686458" w:rsidP="00686458">
      <w:pPr>
        <w:spacing w:after="120" w:line="240" w:lineRule="auto"/>
        <w:ind w:left="720"/>
        <w:contextualSpacing/>
        <w:jc w:val="both"/>
        <w:rPr>
          <w:rFonts w:ascii="Arial" w:eastAsia="MS Mincho" w:hAnsi="Arial" w:cs="Arial"/>
          <w:sz w:val="20"/>
          <w:szCs w:val="20"/>
          <w:lang w:eastAsia="ja-JP"/>
        </w:rPr>
      </w:pPr>
      <w:r w:rsidRPr="00686458">
        <w:rPr>
          <w:rFonts w:ascii="Arial" w:eastAsia="MS Mincho" w:hAnsi="Arial" w:cs="Arial"/>
          <w:sz w:val="20"/>
          <w:szCs w:val="20"/>
          <w:lang w:eastAsia="ja-JP"/>
        </w:rPr>
        <w:t>(1) средствата от ЕЗФРСР по ПРСР за финансовия инструмент;</w:t>
      </w:r>
    </w:p>
    <w:p w:rsidR="00686458" w:rsidRPr="00686458" w:rsidRDefault="00686458" w:rsidP="00686458">
      <w:pPr>
        <w:spacing w:after="120" w:line="240" w:lineRule="auto"/>
        <w:ind w:left="720"/>
        <w:contextualSpacing/>
        <w:jc w:val="both"/>
        <w:rPr>
          <w:rFonts w:ascii="Arial" w:eastAsia="MS Mincho" w:hAnsi="Arial" w:cs="Arial"/>
          <w:sz w:val="20"/>
          <w:szCs w:val="20"/>
          <w:lang w:eastAsia="ja-JP"/>
        </w:rPr>
      </w:pPr>
      <w:r w:rsidRPr="00686458">
        <w:rPr>
          <w:rFonts w:ascii="Arial" w:eastAsia="MS Mincho" w:hAnsi="Arial" w:cs="Arial"/>
          <w:sz w:val="20"/>
          <w:szCs w:val="20"/>
          <w:lang w:eastAsia="ja-JP"/>
        </w:rPr>
        <w:t>(2) средствата от национално съфинансиране по ПРСР за финансовия инструмент;</w:t>
      </w:r>
    </w:p>
    <w:p w:rsidR="00686458" w:rsidRPr="00686458" w:rsidRDefault="00686458" w:rsidP="00686458">
      <w:pPr>
        <w:spacing w:after="120" w:line="240" w:lineRule="auto"/>
        <w:ind w:left="720"/>
        <w:contextualSpacing/>
        <w:jc w:val="both"/>
        <w:rPr>
          <w:rFonts w:ascii="Arial" w:eastAsia="MS Mincho" w:hAnsi="Arial" w:cs="Arial"/>
          <w:sz w:val="20"/>
          <w:szCs w:val="20"/>
          <w:lang w:eastAsia="ja-JP"/>
        </w:rPr>
      </w:pPr>
      <w:r w:rsidRPr="00686458">
        <w:rPr>
          <w:rFonts w:ascii="Arial" w:eastAsia="MS Mincho" w:hAnsi="Arial" w:cs="Arial"/>
          <w:sz w:val="20"/>
          <w:szCs w:val="20"/>
          <w:lang w:eastAsia="ja-JP"/>
        </w:rPr>
        <w:t>(3) съфинансиране, предоставено от финансови посредници</w:t>
      </w:r>
    </w:p>
    <w:p w:rsidR="00686458" w:rsidRPr="00686458" w:rsidRDefault="00686458" w:rsidP="00686458">
      <w:pPr>
        <w:spacing w:after="120" w:line="240" w:lineRule="auto"/>
        <w:ind w:left="720"/>
        <w:contextualSpacing/>
        <w:jc w:val="both"/>
        <w:rPr>
          <w:rFonts w:ascii="Arial" w:eastAsia="MS Mincho" w:hAnsi="Arial" w:cs="Arial"/>
          <w:sz w:val="20"/>
          <w:szCs w:val="20"/>
          <w:lang w:eastAsia="ja-JP"/>
        </w:rPr>
      </w:pPr>
      <w:r w:rsidRPr="00686458">
        <w:rPr>
          <w:rFonts w:ascii="Arial" w:eastAsia="MS Mincho" w:hAnsi="Arial" w:cs="Arial"/>
          <w:sz w:val="20"/>
          <w:szCs w:val="20"/>
          <w:lang w:eastAsia="ja-JP"/>
        </w:rPr>
        <w:t>(4) принос на други инвеститори;</w:t>
      </w:r>
    </w:p>
    <w:p w:rsidR="00686458" w:rsidRPr="00686458" w:rsidRDefault="00686458" w:rsidP="00686458">
      <w:pPr>
        <w:spacing w:after="120" w:line="240" w:lineRule="auto"/>
        <w:ind w:firstLine="709"/>
        <w:contextualSpacing/>
        <w:jc w:val="both"/>
        <w:rPr>
          <w:rFonts w:ascii="Arial" w:eastAsia="MS Mincho" w:hAnsi="Arial" w:cs="Arial"/>
          <w:sz w:val="20"/>
          <w:szCs w:val="20"/>
          <w:lang w:eastAsia="ja-JP"/>
        </w:rPr>
      </w:pPr>
      <w:r w:rsidRPr="00686458">
        <w:rPr>
          <w:rFonts w:ascii="Arial" w:eastAsia="MS Mincho" w:hAnsi="Arial" w:cs="Arial"/>
          <w:sz w:val="20"/>
          <w:szCs w:val="20"/>
          <w:lang w:eastAsia="ja-JP"/>
        </w:rPr>
        <w:t>(5) лихви и други приходи, които се очаква да бъдат генерирани от съкровищно управлението (член 43 от Регламент 1303/2013 г.)</w:t>
      </w:r>
    </w:p>
    <w:p w:rsidR="00686458" w:rsidRPr="00686458" w:rsidRDefault="00686458" w:rsidP="00D23753">
      <w:pPr>
        <w:pStyle w:val="Heading3"/>
        <w:spacing w:before="360" w:after="120"/>
        <w:ind w:firstLine="708"/>
        <w:jc w:val="both"/>
        <w:rPr>
          <w:rFonts w:ascii="Arial" w:eastAsia="MS Mincho" w:hAnsi="Arial" w:cs="Arial"/>
          <w:color w:val="auto"/>
          <w:sz w:val="20"/>
          <w:szCs w:val="20"/>
          <w:lang w:val="bg-BG" w:eastAsia="ja-JP"/>
        </w:rPr>
      </w:pPr>
      <w:r w:rsidRPr="00686458">
        <w:rPr>
          <w:rFonts w:ascii="Arial" w:eastAsia="MS Mincho" w:hAnsi="Arial" w:cs="Arial"/>
          <w:color w:val="auto"/>
          <w:sz w:val="20"/>
          <w:szCs w:val="20"/>
          <w:lang w:val="bg-BG" w:eastAsia="ja-JP"/>
        </w:rPr>
        <w:t xml:space="preserve">При изчисляване на лостовия ефект, участието на крайните получатели със собствен ресурс за реализиране на инвестициите не се включва, както и инвестиционните цикли след първото усвояване на ресурса по програмата. </w:t>
      </w:r>
    </w:p>
    <w:p w:rsidR="00686458" w:rsidRPr="00C42EA0" w:rsidRDefault="00686458" w:rsidP="00686458">
      <w:pPr>
        <w:rPr>
          <w:rFonts w:ascii="Arial" w:hAnsi="Arial" w:cs="Arial"/>
          <w:sz w:val="20"/>
          <w:szCs w:val="20"/>
        </w:rPr>
      </w:pPr>
      <w:r w:rsidRPr="00686458">
        <w:rPr>
          <w:rFonts w:ascii="Arial" w:eastAsia="MS Mincho" w:hAnsi="Arial" w:cs="Arial"/>
          <w:sz w:val="20"/>
          <w:szCs w:val="20"/>
          <w:lang w:eastAsia="ja-JP"/>
        </w:rPr>
        <w:t>При капитализиране на схемата със средства по ПРСР (като ресурсът от ЕЗФРСР в размер на  20 млн. евро (85%) и  млн. евро - национално съфинансиране (15%)) и реализиране на кредитен портфейл при индикативно разпределение 25% за кредити за съфинансиране и 75% за самостоятелни заеми, очакваният ефект на лоста ще е в размер на 1.8, като разпределено по различните продукти, лостовият ефект ще бъде е 2,2 за кредитите за съфинансиране и 1,6 за самостоятелния заем.</w:t>
      </w:r>
      <w:r w:rsidRPr="00686458">
        <w:rPr>
          <w:rFonts w:ascii="Arial" w:hAnsi="Arial" w:cs="Arial"/>
          <w:sz w:val="20"/>
          <w:szCs w:val="20"/>
        </w:rPr>
        <w:t xml:space="preserve"> </w:t>
      </w:r>
    </w:p>
    <w:p w:rsidR="00686458" w:rsidRPr="00C42EA0" w:rsidRDefault="00686458" w:rsidP="00686458">
      <w:pPr>
        <w:tabs>
          <w:tab w:val="left" w:pos="3364"/>
        </w:tabs>
        <w:jc w:val="both"/>
        <w:rPr>
          <w:rFonts w:ascii="Arial" w:hAnsi="Arial" w:cs="Arial"/>
          <w:i/>
          <w:iCs/>
          <w:sz w:val="20"/>
          <w:szCs w:val="20"/>
        </w:rPr>
      </w:pPr>
    </w:p>
    <w:p w:rsidR="00686458" w:rsidRDefault="00686458" w:rsidP="00BA0A19">
      <w:pPr>
        <w:pStyle w:val="ListParagraph"/>
        <w:spacing w:after="120"/>
        <w:ind w:left="0"/>
        <w:contextualSpacing w:val="0"/>
        <w:jc w:val="both"/>
        <w:rPr>
          <w:rFonts w:ascii="Arial" w:hAnsi="Arial" w:cs="Arial"/>
          <w:sz w:val="20"/>
          <w:szCs w:val="20"/>
          <w:lang w:val="bg-BG"/>
        </w:rPr>
      </w:pPr>
    </w:p>
    <w:p w:rsidR="00BA0A19" w:rsidRPr="00BA0A19" w:rsidRDefault="00BA0A19" w:rsidP="008F7DE9">
      <w:pPr>
        <w:jc w:val="center"/>
        <w:rPr>
          <w:rFonts w:ascii="Arial" w:hAnsi="Arial" w:cs="Arial"/>
          <w:b/>
          <w:color w:val="4F81BD" w:themeColor="accent1"/>
          <w:sz w:val="20"/>
          <w:szCs w:val="20"/>
          <w:highlight w:val="yellow"/>
        </w:rPr>
      </w:pPr>
    </w:p>
    <w:p w:rsidR="008F7DE9" w:rsidRPr="008F7DE9" w:rsidRDefault="008F7DE9" w:rsidP="008F7DE9">
      <w:pPr>
        <w:jc w:val="center"/>
        <w:rPr>
          <w:rFonts w:ascii="Times New Roman" w:hAnsi="Times New Roman" w:cs="Times New Roman"/>
          <w:b/>
        </w:rPr>
      </w:pPr>
    </w:p>
    <w:sectPr w:rsidR="008F7DE9" w:rsidRPr="008F7DE9">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FE1" w:rsidRDefault="003D6FE1" w:rsidP="008F7DE9">
      <w:pPr>
        <w:spacing w:after="0" w:line="240" w:lineRule="auto"/>
      </w:pPr>
      <w:r>
        <w:separator/>
      </w:r>
    </w:p>
  </w:endnote>
  <w:endnote w:type="continuationSeparator" w:id="0">
    <w:p w:rsidR="003D6FE1" w:rsidRDefault="003D6FE1" w:rsidP="008F7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9768312"/>
      <w:docPartObj>
        <w:docPartGallery w:val="Page Numbers (Bottom of Page)"/>
        <w:docPartUnique/>
      </w:docPartObj>
    </w:sdtPr>
    <w:sdtEndPr>
      <w:rPr>
        <w:noProof/>
      </w:rPr>
    </w:sdtEndPr>
    <w:sdtContent>
      <w:p w:rsidR="004F7EF0" w:rsidRDefault="004F7EF0">
        <w:pPr>
          <w:pStyle w:val="Footer"/>
          <w:jc w:val="center"/>
        </w:pPr>
        <w:r>
          <w:fldChar w:fldCharType="begin"/>
        </w:r>
        <w:r>
          <w:instrText xml:space="preserve"> PAGE   \* MERGEFORMAT </w:instrText>
        </w:r>
        <w:r>
          <w:fldChar w:fldCharType="separate"/>
        </w:r>
        <w:r w:rsidR="00115C12">
          <w:rPr>
            <w:noProof/>
          </w:rPr>
          <w:t>1</w:t>
        </w:r>
        <w:r>
          <w:rPr>
            <w:noProof/>
          </w:rPr>
          <w:fldChar w:fldCharType="end"/>
        </w:r>
      </w:p>
    </w:sdtContent>
  </w:sdt>
  <w:p w:rsidR="004F7EF0" w:rsidRDefault="004F7E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FE1" w:rsidRDefault="003D6FE1" w:rsidP="008F7DE9">
      <w:pPr>
        <w:spacing w:after="0" w:line="240" w:lineRule="auto"/>
      </w:pPr>
      <w:r>
        <w:separator/>
      </w:r>
    </w:p>
  </w:footnote>
  <w:footnote w:type="continuationSeparator" w:id="0">
    <w:p w:rsidR="003D6FE1" w:rsidRDefault="003D6FE1" w:rsidP="008F7DE9">
      <w:pPr>
        <w:spacing w:after="0" w:line="240" w:lineRule="auto"/>
      </w:pPr>
      <w:r>
        <w:continuationSeparator/>
      </w:r>
    </w:p>
  </w:footnote>
  <w:footnote w:id="1">
    <w:p w:rsidR="008F7DE9" w:rsidRPr="00412A9F" w:rsidRDefault="008F7DE9" w:rsidP="008F7DE9">
      <w:pPr>
        <w:pStyle w:val="FootnoteText"/>
        <w:rPr>
          <w:lang w:val="bg-BG"/>
        </w:rPr>
      </w:pPr>
      <w:r>
        <w:rPr>
          <w:rStyle w:val="FootnoteReference"/>
        </w:rPr>
        <w:footnoteRef/>
      </w:r>
      <w:r w:rsidRPr="00412A9F">
        <w:rPr>
          <w:lang w:val="bg-BG"/>
        </w:rPr>
        <w:t xml:space="preserve"> </w:t>
      </w:r>
      <w:r w:rsidRPr="00620AE8">
        <w:rPr>
          <w:sz w:val="18"/>
          <w:szCs w:val="18"/>
          <w:lang w:val="bg-BG"/>
        </w:rPr>
        <w:t>Според Предварителна</w:t>
      </w:r>
      <w:r>
        <w:rPr>
          <w:sz w:val="18"/>
          <w:szCs w:val="18"/>
          <w:lang w:val="bg-BG"/>
        </w:rPr>
        <w:t>та</w:t>
      </w:r>
      <w:r w:rsidRPr="00620AE8">
        <w:rPr>
          <w:sz w:val="18"/>
          <w:szCs w:val="18"/>
          <w:lang w:val="bg-BG"/>
        </w:rPr>
        <w:t xml:space="preserve"> оценка на финансови инструменти по П</w:t>
      </w:r>
      <w:r>
        <w:rPr>
          <w:sz w:val="18"/>
          <w:szCs w:val="18"/>
          <w:lang w:val="bg-BG"/>
        </w:rPr>
        <w:t>РСР</w:t>
      </w:r>
      <w:r w:rsidRPr="00620AE8">
        <w:rPr>
          <w:sz w:val="18"/>
          <w:szCs w:val="18"/>
          <w:lang w:val="bg-BG"/>
        </w:rPr>
        <w:t xml:space="preserve"> 2014-2020 г.</w:t>
      </w:r>
      <w:r>
        <w:rPr>
          <w:sz w:val="18"/>
          <w:szCs w:val="18"/>
          <w:lang w:val="bg-BG"/>
        </w:rPr>
        <w:t xml:space="preserve"> от м. май 2018 г.</w:t>
      </w:r>
      <w:r w:rsidRPr="00620AE8">
        <w:rPr>
          <w:sz w:val="18"/>
          <w:szCs w:val="18"/>
          <w:lang w:val="bg-BG"/>
        </w:rPr>
        <w:t xml:space="preserve"> (</w:t>
      </w:r>
      <w:hyperlink r:id="rId1" w:history="1">
        <w:r w:rsidRPr="00F60FCA">
          <w:rPr>
            <w:rStyle w:val="Hyperlink"/>
            <w:sz w:val="18"/>
            <w:szCs w:val="18"/>
            <w:lang w:val="bg-BG"/>
          </w:rPr>
          <w:t>https://www.mzh.government.bg/media/filer_public/2018/08/24/predvaritelna_otsenka_na_finansovite_instrumenti_na_prsr_2014-2020.pdf</w:t>
        </w:r>
      </w:hyperlink>
      <w:r>
        <w:rPr>
          <w:sz w:val="18"/>
          <w:szCs w:val="18"/>
          <w:lang w:val="bg-BG"/>
        </w:rPr>
        <w:t>)</w:t>
      </w:r>
    </w:p>
  </w:footnote>
  <w:footnote w:id="2">
    <w:p w:rsidR="00BA0A19" w:rsidRPr="00B56ECA" w:rsidRDefault="00BA0A19" w:rsidP="00BA0A19">
      <w:pPr>
        <w:pStyle w:val="FootnoteText"/>
        <w:rPr>
          <w:sz w:val="18"/>
          <w:szCs w:val="18"/>
          <w:lang w:val="bg-BG"/>
        </w:rPr>
      </w:pPr>
    </w:p>
  </w:footnote>
  <w:footnote w:id="3">
    <w:p w:rsidR="00BA0A19" w:rsidRPr="0050692D" w:rsidRDefault="00BA0A19" w:rsidP="00BA0A19">
      <w:pPr>
        <w:pStyle w:val="FootnoteText"/>
        <w:jc w:val="both"/>
        <w:rPr>
          <w:sz w:val="18"/>
          <w:szCs w:val="18"/>
          <w:lang w:val="bg-BG"/>
        </w:rPr>
      </w:pPr>
    </w:p>
  </w:footnote>
  <w:footnote w:id="4">
    <w:p w:rsidR="00686458" w:rsidRPr="003D756C" w:rsidRDefault="00686458" w:rsidP="00686458">
      <w:pPr>
        <w:pStyle w:val="FootnoteText"/>
        <w:rPr>
          <w:lang w:val="bg-BG"/>
        </w:rPr>
      </w:pPr>
    </w:p>
  </w:footnote>
  <w:footnote w:id="5">
    <w:p w:rsidR="00686458" w:rsidRPr="00C70110" w:rsidRDefault="00686458" w:rsidP="00686458">
      <w:pPr>
        <w:pStyle w:val="FootnoteText"/>
        <w:rPr>
          <w:lang w:val="bg-BG"/>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14A88"/>
    <w:multiLevelType w:val="hybridMultilevel"/>
    <w:tmpl w:val="B3E603DC"/>
    <w:lvl w:ilvl="0" w:tplc="0402000F">
      <w:start w:val="3"/>
      <w:numFmt w:val="decimal"/>
      <w:lvlText w:val="%1."/>
      <w:lvlJc w:val="left"/>
      <w:pPr>
        <w:ind w:left="720" w:hanging="360"/>
      </w:pPr>
      <w:rPr>
        <w:rFonts w:hint="default"/>
      </w:rPr>
    </w:lvl>
    <w:lvl w:ilvl="1" w:tplc="04020019">
      <w:start w:val="1"/>
      <w:numFmt w:val="lowerLetter"/>
      <w:lvlText w:val="%2."/>
      <w:lvlJc w:val="left"/>
      <w:pPr>
        <w:ind w:left="1440" w:hanging="360"/>
      </w:pPr>
    </w:lvl>
    <w:lvl w:ilvl="2" w:tplc="686A3AD6">
      <w:numFmt w:val="bullet"/>
      <w:lvlText w:val="-"/>
      <w:lvlJc w:val="left"/>
      <w:pPr>
        <w:ind w:left="2340" w:hanging="360"/>
      </w:pPr>
      <w:rPr>
        <w:rFonts w:ascii="Arial" w:eastAsiaTheme="minorHAnsi" w:hAnsi="Arial" w:cs="Arial" w:hint="default"/>
      </w:r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6163798"/>
    <w:multiLevelType w:val="hybridMultilevel"/>
    <w:tmpl w:val="E5021BB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D71982"/>
    <w:multiLevelType w:val="hybridMultilevel"/>
    <w:tmpl w:val="A0D0C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F60AC5"/>
    <w:multiLevelType w:val="hybridMultilevel"/>
    <w:tmpl w:val="30FC7CA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4DBD0CD2"/>
    <w:multiLevelType w:val="hybridMultilevel"/>
    <w:tmpl w:val="28D2671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nsid w:val="59A3052D"/>
    <w:multiLevelType w:val="hybridMultilevel"/>
    <w:tmpl w:val="CB38D2C0"/>
    <w:lvl w:ilvl="0" w:tplc="392C9E7E">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5C4A5AA0"/>
    <w:multiLevelType w:val="hybridMultilevel"/>
    <w:tmpl w:val="E66C3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02C32B3"/>
    <w:multiLevelType w:val="hybridMultilevel"/>
    <w:tmpl w:val="6A12A78A"/>
    <w:lvl w:ilvl="0" w:tplc="04020001">
      <w:start w:val="1"/>
      <w:numFmt w:val="bullet"/>
      <w:lvlText w:val=""/>
      <w:lvlJc w:val="left"/>
      <w:pPr>
        <w:ind w:left="720" w:hanging="360"/>
      </w:pPr>
      <w:rPr>
        <w:rFonts w:ascii="Symbol" w:hAnsi="Symbol" w:hint="default"/>
      </w:rPr>
    </w:lvl>
    <w:lvl w:ilvl="1" w:tplc="F0FA5256">
      <w:numFmt w:val="bullet"/>
      <w:lvlText w:val="•"/>
      <w:lvlJc w:val="left"/>
      <w:pPr>
        <w:ind w:left="1800" w:hanging="720"/>
      </w:pPr>
      <w:rPr>
        <w:rFonts w:ascii="Arial" w:eastAsiaTheme="minorHAnsi"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712C7EEA"/>
    <w:multiLevelType w:val="hybridMultilevel"/>
    <w:tmpl w:val="A5E6DFD2"/>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2"/>
  </w:num>
  <w:num w:numId="3">
    <w:abstractNumId w:val="8"/>
  </w:num>
  <w:num w:numId="4">
    <w:abstractNumId w:val="0"/>
  </w:num>
  <w:num w:numId="5">
    <w:abstractNumId w:val="3"/>
  </w:num>
  <w:num w:numId="6">
    <w:abstractNumId w:val="5"/>
  </w:num>
  <w:num w:numId="7">
    <w:abstractNumId w:val="4"/>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DE9"/>
    <w:rsid w:val="00064899"/>
    <w:rsid w:val="00115C12"/>
    <w:rsid w:val="001B4AC8"/>
    <w:rsid w:val="001F4203"/>
    <w:rsid w:val="001F6B54"/>
    <w:rsid w:val="00234EB8"/>
    <w:rsid w:val="003C7634"/>
    <w:rsid w:val="003D6FE1"/>
    <w:rsid w:val="003F07C2"/>
    <w:rsid w:val="004F7EF0"/>
    <w:rsid w:val="005A25C8"/>
    <w:rsid w:val="00686458"/>
    <w:rsid w:val="007A67A8"/>
    <w:rsid w:val="007C14B6"/>
    <w:rsid w:val="008F5FF6"/>
    <w:rsid w:val="008F7DE9"/>
    <w:rsid w:val="009B4FD9"/>
    <w:rsid w:val="009D3755"/>
    <w:rsid w:val="00A009C5"/>
    <w:rsid w:val="00AC6F1C"/>
    <w:rsid w:val="00BA0A19"/>
    <w:rsid w:val="00BC7462"/>
    <w:rsid w:val="00CB0726"/>
    <w:rsid w:val="00CC59BF"/>
    <w:rsid w:val="00D23753"/>
    <w:rsid w:val="00E11A12"/>
    <w:rsid w:val="00E323BE"/>
    <w:rsid w:val="00FF629C"/>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4F7EF0"/>
    <w:pPr>
      <w:keepNext/>
      <w:keepLines/>
      <w:spacing w:before="40" w:after="0"/>
      <w:outlineLvl w:val="2"/>
    </w:pPr>
    <w:rPr>
      <w:rFonts w:asciiTheme="majorHAnsi" w:eastAsiaTheme="majorEastAsia" w:hAnsiTheme="majorHAnsi" w:cstheme="majorBidi"/>
      <w:color w:val="243F60" w:themeColor="accent1" w:themeShade="7F"/>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7DE9"/>
    <w:pPr>
      <w:ind w:left="720"/>
      <w:contextualSpacing/>
    </w:pPr>
    <w:rPr>
      <w:rFonts w:eastAsiaTheme="minorHAnsi"/>
      <w:lang w:val="en-GB" w:eastAsia="en-US"/>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Zn,fn,Cha"/>
    <w:basedOn w:val="Normal"/>
    <w:link w:val="FootnoteTextChar"/>
    <w:uiPriority w:val="99"/>
    <w:unhideWhenUsed/>
    <w:qFormat/>
    <w:rsid w:val="008F7DE9"/>
    <w:pPr>
      <w:spacing w:after="0" w:line="240" w:lineRule="auto"/>
    </w:pPr>
    <w:rPr>
      <w:rFonts w:eastAsiaTheme="minorHAnsi"/>
      <w:sz w:val="20"/>
      <w:szCs w:val="20"/>
      <w:lang w:val="en-GB" w:eastAsia="en-US"/>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Zn Char"/>
    <w:basedOn w:val="DefaultParagraphFont"/>
    <w:link w:val="FootnoteText"/>
    <w:uiPriority w:val="99"/>
    <w:rsid w:val="008F7DE9"/>
    <w:rPr>
      <w:rFonts w:eastAsiaTheme="minorHAnsi"/>
      <w:sz w:val="20"/>
      <w:szCs w:val="20"/>
      <w:lang w:val="en-GB" w:eastAsia="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o"/>
    <w:basedOn w:val="DefaultParagraphFont"/>
    <w:uiPriority w:val="99"/>
    <w:unhideWhenUsed/>
    <w:rsid w:val="008F7DE9"/>
    <w:rPr>
      <w:vertAlign w:val="superscript"/>
    </w:rPr>
  </w:style>
  <w:style w:type="character" w:styleId="Hyperlink">
    <w:name w:val="Hyperlink"/>
    <w:basedOn w:val="DefaultParagraphFont"/>
    <w:uiPriority w:val="99"/>
    <w:unhideWhenUsed/>
    <w:rsid w:val="008F7DE9"/>
    <w:rPr>
      <w:color w:val="0000FF" w:themeColor="hyperlink"/>
      <w:u w:val="single"/>
    </w:rPr>
  </w:style>
  <w:style w:type="character" w:customStyle="1" w:styleId="Heading3Char">
    <w:name w:val="Heading 3 Char"/>
    <w:basedOn w:val="DefaultParagraphFont"/>
    <w:link w:val="Heading3"/>
    <w:uiPriority w:val="9"/>
    <w:rsid w:val="004F7EF0"/>
    <w:rPr>
      <w:rFonts w:asciiTheme="majorHAnsi" w:eastAsiaTheme="majorEastAsia" w:hAnsiTheme="majorHAnsi" w:cstheme="majorBidi"/>
      <w:color w:val="243F60" w:themeColor="accent1" w:themeShade="7F"/>
      <w:sz w:val="24"/>
      <w:szCs w:val="24"/>
      <w:lang w:val="en-GB" w:eastAsia="en-US"/>
    </w:rPr>
  </w:style>
  <w:style w:type="paragraph" w:customStyle="1" w:styleId="source">
    <w:name w:val="source"/>
    <w:basedOn w:val="Normal"/>
    <w:link w:val="sourceCarattere"/>
    <w:qFormat/>
    <w:rsid w:val="004F7EF0"/>
    <w:pPr>
      <w:spacing w:before="40" w:after="120" w:line="240" w:lineRule="auto"/>
      <w:ind w:left="1701"/>
      <w:jc w:val="right"/>
    </w:pPr>
    <w:rPr>
      <w:rFonts w:ascii="Arial" w:eastAsia="Calibri" w:hAnsi="Arial" w:cs="Calibri"/>
      <w:i/>
      <w:spacing w:val="1"/>
      <w:sz w:val="16"/>
      <w:szCs w:val="16"/>
      <w:lang w:val="en-GB" w:eastAsia="it-IT"/>
    </w:rPr>
  </w:style>
  <w:style w:type="character" w:customStyle="1" w:styleId="sourceCarattere">
    <w:name w:val="source Carattere"/>
    <w:basedOn w:val="DefaultParagraphFont"/>
    <w:link w:val="source"/>
    <w:rsid w:val="004F7EF0"/>
    <w:rPr>
      <w:rFonts w:ascii="Arial" w:eastAsia="Calibri" w:hAnsi="Arial" w:cs="Calibri"/>
      <w:i/>
      <w:spacing w:val="1"/>
      <w:sz w:val="16"/>
      <w:szCs w:val="16"/>
      <w:lang w:val="en-GB" w:eastAsia="it-IT"/>
    </w:rPr>
  </w:style>
  <w:style w:type="paragraph" w:styleId="Caption">
    <w:name w:val="caption"/>
    <w:basedOn w:val="Normal"/>
    <w:next w:val="Normal"/>
    <w:uiPriority w:val="35"/>
    <w:unhideWhenUsed/>
    <w:qFormat/>
    <w:rsid w:val="004F7EF0"/>
    <w:pPr>
      <w:spacing w:line="240" w:lineRule="auto"/>
    </w:pPr>
    <w:rPr>
      <w:rFonts w:eastAsiaTheme="minorHAnsi"/>
      <w:i/>
      <w:iCs/>
      <w:color w:val="1F497D" w:themeColor="text2"/>
      <w:sz w:val="18"/>
      <w:szCs w:val="18"/>
      <w:lang w:val="en-GB" w:eastAsia="en-US"/>
    </w:rPr>
  </w:style>
  <w:style w:type="paragraph" w:styleId="Header">
    <w:name w:val="header"/>
    <w:basedOn w:val="Normal"/>
    <w:link w:val="HeaderChar"/>
    <w:uiPriority w:val="99"/>
    <w:unhideWhenUsed/>
    <w:rsid w:val="004F7EF0"/>
    <w:pPr>
      <w:tabs>
        <w:tab w:val="center" w:pos="4536"/>
        <w:tab w:val="right" w:pos="9072"/>
      </w:tabs>
      <w:spacing w:after="0" w:line="240" w:lineRule="auto"/>
    </w:pPr>
  </w:style>
  <w:style w:type="character" w:customStyle="1" w:styleId="HeaderChar">
    <w:name w:val="Header Char"/>
    <w:basedOn w:val="DefaultParagraphFont"/>
    <w:link w:val="Header"/>
    <w:uiPriority w:val="99"/>
    <w:rsid w:val="004F7EF0"/>
  </w:style>
  <w:style w:type="paragraph" w:styleId="Footer">
    <w:name w:val="footer"/>
    <w:basedOn w:val="Normal"/>
    <w:link w:val="FooterChar"/>
    <w:uiPriority w:val="99"/>
    <w:unhideWhenUsed/>
    <w:rsid w:val="004F7EF0"/>
    <w:pPr>
      <w:tabs>
        <w:tab w:val="center" w:pos="4536"/>
        <w:tab w:val="right" w:pos="9072"/>
      </w:tabs>
      <w:spacing w:after="0" w:line="240" w:lineRule="auto"/>
    </w:pPr>
  </w:style>
  <w:style w:type="character" w:customStyle="1" w:styleId="FooterChar">
    <w:name w:val="Footer Char"/>
    <w:basedOn w:val="DefaultParagraphFont"/>
    <w:link w:val="Footer"/>
    <w:uiPriority w:val="99"/>
    <w:rsid w:val="004F7EF0"/>
  </w:style>
  <w:style w:type="paragraph" w:customStyle="1" w:styleId="Default">
    <w:name w:val="Default"/>
    <w:rsid w:val="004F7EF0"/>
    <w:pPr>
      <w:autoSpaceDE w:val="0"/>
      <w:autoSpaceDN w:val="0"/>
      <w:adjustRightInd w:val="0"/>
      <w:spacing w:after="0" w:line="240" w:lineRule="auto"/>
    </w:pPr>
    <w:rPr>
      <w:rFonts w:ascii="Times New Roman" w:eastAsiaTheme="minorHAnsi" w:hAnsi="Times New Roman" w:cs="Times New Roman"/>
      <w:color w:val="000000"/>
      <w:sz w:val="24"/>
      <w:szCs w:val="24"/>
      <w:lang w:val="en-GB" w:eastAsia="en-US"/>
    </w:rPr>
  </w:style>
  <w:style w:type="character" w:styleId="CommentReference">
    <w:name w:val="annotation reference"/>
    <w:basedOn w:val="DefaultParagraphFont"/>
    <w:uiPriority w:val="99"/>
    <w:semiHidden/>
    <w:unhideWhenUsed/>
    <w:rsid w:val="00BA0A19"/>
    <w:rPr>
      <w:sz w:val="16"/>
      <w:szCs w:val="16"/>
    </w:rPr>
  </w:style>
  <w:style w:type="paragraph" w:styleId="CommentText">
    <w:name w:val="annotation text"/>
    <w:basedOn w:val="Normal"/>
    <w:link w:val="CommentTextChar"/>
    <w:uiPriority w:val="99"/>
    <w:unhideWhenUsed/>
    <w:rsid w:val="00BA0A19"/>
    <w:pPr>
      <w:spacing w:line="240" w:lineRule="auto"/>
    </w:pPr>
    <w:rPr>
      <w:rFonts w:eastAsiaTheme="minorHAnsi"/>
      <w:sz w:val="20"/>
      <w:szCs w:val="20"/>
      <w:lang w:val="en-GB" w:eastAsia="en-US"/>
    </w:rPr>
  </w:style>
  <w:style w:type="character" w:customStyle="1" w:styleId="CommentTextChar">
    <w:name w:val="Comment Text Char"/>
    <w:basedOn w:val="DefaultParagraphFont"/>
    <w:link w:val="CommentText"/>
    <w:uiPriority w:val="99"/>
    <w:rsid w:val="00BA0A19"/>
    <w:rPr>
      <w:rFonts w:eastAsiaTheme="minorHAnsi"/>
      <w:sz w:val="20"/>
      <w:szCs w:val="20"/>
      <w:lang w:val="en-GB" w:eastAsia="en-US"/>
    </w:rPr>
  </w:style>
  <w:style w:type="paragraph" w:styleId="BalloonText">
    <w:name w:val="Balloon Text"/>
    <w:basedOn w:val="Normal"/>
    <w:link w:val="BalloonTextChar"/>
    <w:uiPriority w:val="99"/>
    <w:semiHidden/>
    <w:unhideWhenUsed/>
    <w:rsid w:val="00BA0A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0A19"/>
    <w:rPr>
      <w:rFonts w:ascii="Tahoma" w:hAnsi="Tahoma" w:cs="Tahoma"/>
      <w:sz w:val="16"/>
      <w:szCs w:val="16"/>
    </w:rPr>
  </w:style>
  <w:style w:type="table" w:styleId="TableGrid">
    <w:name w:val="Table Grid"/>
    <w:basedOn w:val="TableNormal"/>
    <w:uiPriority w:val="59"/>
    <w:rsid w:val="00686458"/>
    <w:pPr>
      <w:spacing w:before="260" w:after="40" w:line="240" w:lineRule="auto"/>
      <w:jc w:val="both"/>
    </w:pPr>
    <w:rPr>
      <w:rFonts w:ascii="Times New Roman" w:eastAsia="Times New Roman" w:hAnsi="Times New Roman" w:cs="Times New Roman"/>
      <w:sz w:val="20"/>
      <w:szCs w:val="20"/>
      <w:lang w:val="it-IT" w:eastAsia="it-IT"/>
    </w:rPr>
    <w:tblPr>
      <w:tblBorders>
        <w:top w:val="single" w:sz="18" w:space="0" w:color="808080"/>
        <w:left w:val="single" w:sz="18" w:space="0" w:color="808080"/>
        <w:bottom w:val="single" w:sz="18" w:space="0" w:color="808080"/>
        <w:right w:val="single" w:sz="18" w:space="0" w:color="808080"/>
        <w:insideH w:val="single" w:sz="18" w:space="0" w:color="808080"/>
        <w:insideV w:val="single" w:sz="18" w:space="0" w:color="808080"/>
      </w:tblBorders>
    </w:tblPr>
    <w:tcPr>
      <w:vAlign w:val="center"/>
    </w:tcPr>
  </w:style>
  <w:style w:type="paragraph" w:styleId="CommentSubject">
    <w:name w:val="annotation subject"/>
    <w:basedOn w:val="CommentText"/>
    <w:next w:val="CommentText"/>
    <w:link w:val="CommentSubjectChar"/>
    <w:uiPriority w:val="99"/>
    <w:semiHidden/>
    <w:unhideWhenUsed/>
    <w:rsid w:val="003F07C2"/>
    <w:rPr>
      <w:rFonts w:eastAsiaTheme="minorEastAsia"/>
      <w:b/>
      <w:bCs/>
      <w:lang w:val="bg-BG" w:eastAsia="zh-TW"/>
    </w:rPr>
  </w:style>
  <w:style w:type="character" w:customStyle="1" w:styleId="CommentSubjectChar">
    <w:name w:val="Comment Subject Char"/>
    <w:basedOn w:val="CommentTextChar"/>
    <w:link w:val="CommentSubject"/>
    <w:uiPriority w:val="99"/>
    <w:semiHidden/>
    <w:rsid w:val="003F07C2"/>
    <w:rPr>
      <w:rFonts w:eastAsiaTheme="minorHAnsi"/>
      <w:b/>
      <w:bCs/>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4F7EF0"/>
    <w:pPr>
      <w:keepNext/>
      <w:keepLines/>
      <w:spacing w:before="40" w:after="0"/>
      <w:outlineLvl w:val="2"/>
    </w:pPr>
    <w:rPr>
      <w:rFonts w:asciiTheme="majorHAnsi" w:eastAsiaTheme="majorEastAsia" w:hAnsiTheme="majorHAnsi" w:cstheme="majorBidi"/>
      <w:color w:val="243F60" w:themeColor="accent1" w:themeShade="7F"/>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7DE9"/>
    <w:pPr>
      <w:ind w:left="720"/>
      <w:contextualSpacing/>
    </w:pPr>
    <w:rPr>
      <w:rFonts w:eastAsiaTheme="minorHAnsi"/>
      <w:lang w:val="en-GB" w:eastAsia="en-US"/>
    </w:rPr>
  </w:style>
  <w:style w:type="paragraph" w:styleId="FootnoteText">
    <w:name w:val="footnote text"/>
    <w:aliases w:val="Fußnotentext arial,Podrozdział,stile 1,Footnote1,Footnote2,Footnote3,Footnote4,Footnote5,Footnote6,Footnote7,Footnote8,Footnote9,Footnote10,Footnote11,Footnote21,Footnote31,Footnote41,Footnote51,Footnote61,Footnote71,Footnote81,Zn,fn,Cha"/>
    <w:basedOn w:val="Normal"/>
    <w:link w:val="FootnoteTextChar"/>
    <w:uiPriority w:val="99"/>
    <w:unhideWhenUsed/>
    <w:qFormat/>
    <w:rsid w:val="008F7DE9"/>
    <w:pPr>
      <w:spacing w:after="0" w:line="240" w:lineRule="auto"/>
    </w:pPr>
    <w:rPr>
      <w:rFonts w:eastAsiaTheme="minorHAnsi"/>
      <w:sz w:val="20"/>
      <w:szCs w:val="20"/>
      <w:lang w:val="en-GB" w:eastAsia="en-US"/>
    </w:rPr>
  </w:style>
  <w:style w:type="character" w:customStyle="1" w:styleId="FootnoteTextChar">
    <w:name w:val="Footnote Text Char"/>
    <w:aliases w:val="Fußnotentext arial Char,Podrozdział Char,stile 1 Char,Footnote1 Char,Footnote2 Char,Footnote3 Char,Footnote4 Char,Footnote5 Char,Footnote6 Char,Footnote7 Char,Footnote8 Char,Footnote9 Char,Footnote10 Char,Footnote11 Char,Zn Char"/>
    <w:basedOn w:val="DefaultParagraphFont"/>
    <w:link w:val="FootnoteText"/>
    <w:uiPriority w:val="99"/>
    <w:rsid w:val="008F7DE9"/>
    <w:rPr>
      <w:rFonts w:eastAsiaTheme="minorHAnsi"/>
      <w:sz w:val="20"/>
      <w:szCs w:val="20"/>
      <w:lang w:val="en-GB" w:eastAsia="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o"/>
    <w:basedOn w:val="DefaultParagraphFont"/>
    <w:uiPriority w:val="99"/>
    <w:unhideWhenUsed/>
    <w:rsid w:val="008F7DE9"/>
    <w:rPr>
      <w:vertAlign w:val="superscript"/>
    </w:rPr>
  </w:style>
  <w:style w:type="character" w:styleId="Hyperlink">
    <w:name w:val="Hyperlink"/>
    <w:basedOn w:val="DefaultParagraphFont"/>
    <w:uiPriority w:val="99"/>
    <w:unhideWhenUsed/>
    <w:rsid w:val="008F7DE9"/>
    <w:rPr>
      <w:color w:val="0000FF" w:themeColor="hyperlink"/>
      <w:u w:val="single"/>
    </w:rPr>
  </w:style>
  <w:style w:type="character" w:customStyle="1" w:styleId="Heading3Char">
    <w:name w:val="Heading 3 Char"/>
    <w:basedOn w:val="DefaultParagraphFont"/>
    <w:link w:val="Heading3"/>
    <w:uiPriority w:val="9"/>
    <w:rsid w:val="004F7EF0"/>
    <w:rPr>
      <w:rFonts w:asciiTheme="majorHAnsi" w:eastAsiaTheme="majorEastAsia" w:hAnsiTheme="majorHAnsi" w:cstheme="majorBidi"/>
      <w:color w:val="243F60" w:themeColor="accent1" w:themeShade="7F"/>
      <w:sz w:val="24"/>
      <w:szCs w:val="24"/>
      <w:lang w:val="en-GB" w:eastAsia="en-US"/>
    </w:rPr>
  </w:style>
  <w:style w:type="paragraph" w:customStyle="1" w:styleId="source">
    <w:name w:val="source"/>
    <w:basedOn w:val="Normal"/>
    <w:link w:val="sourceCarattere"/>
    <w:qFormat/>
    <w:rsid w:val="004F7EF0"/>
    <w:pPr>
      <w:spacing w:before="40" w:after="120" w:line="240" w:lineRule="auto"/>
      <w:ind w:left="1701"/>
      <w:jc w:val="right"/>
    </w:pPr>
    <w:rPr>
      <w:rFonts w:ascii="Arial" w:eastAsia="Calibri" w:hAnsi="Arial" w:cs="Calibri"/>
      <w:i/>
      <w:spacing w:val="1"/>
      <w:sz w:val="16"/>
      <w:szCs w:val="16"/>
      <w:lang w:val="en-GB" w:eastAsia="it-IT"/>
    </w:rPr>
  </w:style>
  <w:style w:type="character" w:customStyle="1" w:styleId="sourceCarattere">
    <w:name w:val="source Carattere"/>
    <w:basedOn w:val="DefaultParagraphFont"/>
    <w:link w:val="source"/>
    <w:rsid w:val="004F7EF0"/>
    <w:rPr>
      <w:rFonts w:ascii="Arial" w:eastAsia="Calibri" w:hAnsi="Arial" w:cs="Calibri"/>
      <w:i/>
      <w:spacing w:val="1"/>
      <w:sz w:val="16"/>
      <w:szCs w:val="16"/>
      <w:lang w:val="en-GB" w:eastAsia="it-IT"/>
    </w:rPr>
  </w:style>
  <w:style w:type="paragraph" w:styleId="Caption">
    <w:name w:val="caption"/>
    <w:basedOn w:val="Normal"/>
    <w:next w:val="Normal"/>
    <w:uiPriority w:val="35"/>
    <w:unhideWhenUsed/>
    <w:qFormat/>
    <w:rsid w:val="004F7EF0"/>
    <w:pPr>
      <w:spacing w:line="240" w:lineRule="auto"/>
    </w:pPr>
    <w:rPr>
      <w:rFonts w:eastAsiaTheme="minorHAnsi"/>
      <w:i/>
      <w:iCs/>
      <w:color w:val="1F497D" w:themeColor="text2"/>
      <w:sz w:val="18"/>
      <w:szCs w:val="18"/>
      <w:lang w:val="en-GB" w:eastAsia="en-US"/>
    </w:rPr>
  </w:style>
  <w:style w:type="paragraph" w:styleId="Header">
    <w:name w:val="header"/>
    <w:basedOn w:val="Normal"/>
    <w:link w:val="HeaderChar"/>
    <w:uiPriority w:val="99"/>
    <w:unhideWhenUsed/>
    <w:rsid w:val="004F7EF0"/>
    <w:pPr>
      <w:tabs>
        <w:tab w:val="center" w:pos="4536"/>
        <w:tab w:val="right" w:pos="9072"/>
      </w:tabs>
      <w:spacing w:after="0" w:line="240" w:lineRule="auto"/>
    </w:pPr>
  </w:style>
  <w:style w:type="character" w:customStyle="1" w:styleId="HeaderChar">
    <w:name w:val="Header Char"/>
    <w:basedOn w:val="DefaultParagraphFont"/>
    <w:link w:val="Header"/>
    <w:uiPriority w:val="99"/>
    <w:rsid w:val="004F7EF0"/>
  </w:style>
  <w:style w:type="paragraph" w:styleId="Footer">
    <w:name w:val="footer"/>
    <w:basedOn w:val="Normal"/>
    <w:link w:val="FooterChar"/>
    <w:uiPriority w:val="99"/>
    <w:unhideWhenUsed/>
    <w:rsid w:val="004F7EF0"/>
    <w:pPr>
      <w:tabs>
        <w:tab w:val="center" w:pos="4536"/>
        <w:tab w:val="right" w:pos="9072"/>
      </w:tabs>
      <w:spacing w:after="0" w:line="240" w:lineRule="auto"/>
    </w:pPr>
  </w:style>
  <w:style w:type="character" w:customStyle="1" w:styleId="FooterChar">
    <w:name w:val="Footer Char"/>
    <w:basedOn w:val="DefaultParagraphFont"/>
    <w:link w:val="Footer"/>
    <w:uiPriority w:val="99"/>
    <w:rsid w:val="004F7EF0"/>
  </w:style>
  <w:style w:type="paragraph" w:customStyle="1" w:styleId="Default">
    <w:name w:val="Default"/>
    <w:rsid w:val="004F7EF0"/>
    <w:pPr>
      <w:autoSpaceDE w:val="0"/>
      <w:autoSpaceDN w:val="0"/>
      <w:adjustRightInd w:val="0"/>
      <w:spacing w:after="0" w:line="240" w:lineRule="auto"/>
    </w:pPr>
    <w:rPr>
      <w:rFonts w:ascii="Times New Roman" w:eastAsiaTheme="minorHAnsi" w:hAnsi="Times New Roman" w:cs="Times New Roman"/>
      <w:color w:val="000000"/>
      <w:sz w:val="24"/>
      <w:szCs w:val="24"/>
      <w:lang w:val="en-GB" w:eastAsia="en-US"/>
    </w:rPr>
  </w:style>
  <w:style w:type="character" w:styleId="CommentReference">
    <w:name w:val="annotation reference"/>
    <w:basedOn w:val="DefaultParagraphFont"/>
    <w:uiPriority w:val="99"/>
    <w:semiHidden/>
    <w:unhideWhenUsed/>
    <w:rsid w:val="00BA0A19"/>
    <w:rPr>
      <w:sz w:val="16"/>
      <w:szCs w:val="16"/>
    </w:rPr>
  </w:style>
  <w:style w:type="paragraph" w:styleId="CommentText">
    <w:name w:val="annotation text"/>
    <w:basedOn w:val="Normal"/>
    <w:link w:val="CommentTextChar"/>
    <w:uiPriority w:val="99"/>
    <w:unhideWhenUsed/>
    <w:rsid w:val="00BA0A19"/>
    <w:pPr>
      <w:spacing w:line="240" w:lineRule="auto"/>
    </w:pPr>
    <w:rPr>
      <w:rFonts w:eastAsiaTheme="minorHAnsi"/>
      <w:sz w:val="20"/>
      <w:szCs w:val="20"/>
      <w:lang w:val="en-GB" w:eastAsia="en-US"/>
    </w:rPr>
  </w:style>
  <w:style w:type="character" w:customStyle="1" w:styleId="CommentTextChar">
    <w:name w:val="Comment Text Char"/>
    <w:basedOn w:val="DefaultParagraphFont"/>
    <w:link w:val="CommentText"/>
    <w:uiPriority w:val="99"/>
    <w:rsid w:val="00BA0A19"/>
    <w:rPr>
      <w:rFonts w:eastAsiaTheme="minorHAnsi"/>
      <w:sz w:val="20"/>
      <w:szCs w:val="20"/>
      <w:lang w:val="en-GB" w:eastAsia="en-US"/>
    </w:rPr>
  </w:style>
  <w:style w:type="paragraph" w:styleId="BalloonText">
    <w:name w:val="Balloon Text"/>
    <w:basedOn w:val="Normal"/>
    <w:link w:val="BalloonTextChar"/>
    <w:uiPriority w:val="99"/>
    <w:semiHidden/>
    <w:unhideWhenUsed/>
    <w:rsid w:val="00BA0A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0A19"/>
    <w:rPr>
      <w:rFonts w:ascii="Tahoma" w:hAnsi="Tahoma" w:cs="Tahoma"/>
      <w:sz w:val="16"/>
      <w:szCs w:val="16"/>
    </w:rPr>
  </w:style>
  <w:style w:type="table" w:styleId="TableGrid">
    <w:name w:val="Table Grid"/>
    <w:basedOn w:val="TableNormal"/>
    <w:uiPriority w:val="59"/>
    <w:rsid w:val="00686458"/>
    <w:pPr>
      <w:spacing w:before="260" w:after="40" w:line="240" w:lineRule="auto"/>
      <w:jc w:val="both"/>
    </w:pPr>
    <w:rPr>
      <w:rFonts w:ascii="Times New Roman" w:eastAsia="Times New Roman" w:hAnsi="Times New Roman" w:cs="Times New Roman"/>
      <w:sz w:val="20"/>
      <w:szCs w:val="20"/>
      <w:lang w:val="it-IT" w:eastAsia="it-IT"/>
    </w:rPr>
    <w:tblPr>
      <w:tblBorders>
        <w:top w:val="single" w:sz="18" w:space="0" w:color="808080"/>
        <w:left w:val="single" w:sz="18" w:space="0" w:color="808080"/>
        <w:bottom w:val="single" w:sz="18" w:space="0" w:color="808080"/>
        <w:right w:val="single" w:sz="18" w:space="0" w:color="808080"/>
        <w:insideH w:val="single" w:sz="18" w:space="0" w:color="808080"/>
        <w:insideV w:val="single" w:sz="18" w:space="0" w:color="808080"/>
      </w:tblBorders>
    </w:tblPr>
    <w:tcPr>
      <w:vAlign w:val="center"/>
    </w:tcPr>
  </w:style>
  <w:style w:type="paragraph" w:styleId="CommentSubject">
    <w:name w:val="annotation subject"/>
    <w:basedOn w:val="CommentText"/>
    <w:next w:val="CommentText"/>
    <w:link w:val="CommentSubjectChar"/>
    <w:uiPriority w:val="99"/>
    <w:semiHidden/>
    <w:unhideWhenUsed/>
    <w:rsid w:val="003F07C2"/>
    <w:rPr>
      <w:rFonts w:eastAsiaTheme="minorEastAsia"/>
      <w:b/>
      <w:bCs/>
      <w:lang w:val="bg-BG" w:eastAsia="zh-TW"/>
    </w:rPr>
  </w:style>
  <w:style w:type="character" w:customStyle="1" w:styleId="CommentSubjectChar">
    <w:name w:val="Comment Subject Char"/>
    <w:basedOn w:val="CommentTextChar"/>
    <w:link w:val="CommentSubject"/>
    <w:uiPriority w:val="99"/>
    <w:semiHidden/>
    <w:rsid w:val="003F07C2"/>
    <w:rPr>
      <w:rFonts w:eastAsiaTheme="minorHAnsi"/>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mzh.government.bg/media/filer_public/2018/08/24/predvaritelna_otsenka_na_finansovite_instrumenti_na_prsr_2014-2020.pdf"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424A3EB-E1CD-4640-A73C-94B25CE4CA8F}" type="doc">
      <dgm:prSet loTypeId="urn:microsoft.com/office/officeart/2005/8/layout/process3" loCatId="process" qsTypeId="urn:microsoft.com/office/officeart/2005/8/quickstyle/simple1" qsCatId="simple" csTypeId="urn:microsoft.com/office/officeart/2005/8/colors/accent1_2" csCatId="accent1" phldr="1"/>
      <dgm:spPr/>
      <dgm:t>
        <a:bodyPr/>
        <a:lstStyle/>
        <a:p>
          <a:endParaRPr lang="bg-BG"/>
        </a:p>
      </dgm:t>
    </dgm:pt>
    <dgm:pt modelId="{9FF0E29E-7140-496B-B28F-C3B581EE665D}">
      <dgm:prSet phldrT="[Text]" custT="1"/>
      <dgm:spPr/>
      <dgm:t>
        <a:bodyPr/>
        <a:lstStyle/>
        <a:p>
          <a:r>
            <a:rPr lang="bg-BG" sz="1000" b="1">
              <a:latin typeface="Arial" panose="020B0604020202020204" pitchFamily="34" charset="0"/>
              <a:cs typeface="Arial" panose="020B0604020202020204" pitchFamily="34" charset="0"/>
            </a:rPr>
            <a:t>Неоптимални инвестиционни ситуации и пазарни дефекти</a:t>
          </a:r>
        </a:p>
      </dgm:t>
    </dgm:pt>
    <dgm:pt modelId="{11D58D32-34E9-445A-BF03-00051889CDC6}" type="parTrans" cxnId="{812CDF13-A58A-4C66-A451-0390E4D0F331}">
      <dgm:prSet/>
      <dgm:spPr/>
      <dgm:t>
        <a:bodyPr/>
        <a:lstStyle/>
        <a:p>
          <a:endParaRPr lang="bg-BG"/>
        </a:p>
      </dgm:t>
    </dgm:pt>
    <dgm:pt modelId="{A420DCE0-B29A-4B4E-9C59-9F3F6B624CB4}" type="sibTrans" cxnId="{812CDF13-A58A-4C66-A451-0390E4D0F331}">
      <dgm:prSet/>
      <dgm:spPr/>
      <dgm:t>
        <a:bodyPr/>
        <a:lstStyle/>
        <a:p>
          <a:endParaRPr lang="bg-BG"/>
        </a:p>
      </dgm:t>
    </dgm:pt>
    <dgm:pt modelId="{10B5BB81-9734-4DAF-9BDC-FCCC2EB06340}">
      <dgm:prSet phldrT="[Text]" custT="1"/>
      <dgm:spPr/>
      <dgm:t>
        <a:bodyPr/>
        <a:lstStyle/>
        <a:p>
          <a:r>
            <a:rPr lang="bg-BG" sz="1000">
              <a:solidFill>
                <a:sysClr val="windowText" lastClr="000000"/>
              </a:solidFill>
              <a:latin typeface="Arial" panose="020B0604020202020204" pitchFamily="34" charset="0"/>
              <a:cs typeface="Arial" panose="020B0604020202020204" pitchFamily="34" charset="0"/>
            </a:rPr>
            <a:t>Високи стойности на дисбаланс между търсене и предлагане на финансови средства в сектор „Земеделие“ и недостиг на търсенето в размер на 469,6 млн. евро общо за сектора и 152 млн. евро за микропредприятията в селски райони. </a:t>
          </a:r>
        </a:p>
      </dgm:t>
    </dgm:pt>
    <dgm:pt modelId="{B1C88EE2-945B-41FC-B8A5-351A5B35DB77}" type="parTrans" cxnId="{E2AAD4E2-D0A8-425A-91CF-1BFA158588E9}">
      <dgm:prSet/>
      <dgm:spPr/>
      <dgm:t>
        <a:bodyPr/>
        <a:lstStyle/>
        <a:p>
          <a:endParaRPr lang="en-GB"/>
        </a:p>
      </dgm:t>
    </dgm:pt>
    <dgm:pt modelId="{99E3F28C-CC51-4A07-A4C6-348B972181DE}" type="sibTrans" cxnId="{E2AAD4E2-D0A8-425A-91CF-1BFA158588E9}">
      <dgm:prSet/>
      <dgm:spPr/>
      <dgm:t>
        <a:bodyPr/>
        <a:lstStyle/>
        <a:p>
          <a:endParaRPr lang="en-GB"/>
        </a:p>
      </dgm:t>
    </dgm:pt>
    <dgm:pt modelId="{CE595CD4-8477-4644-9FEB-BF207EAD7EE1}">
      <dgm:prSet custT="1"/>
      <dgm:spPr/>
      <dgm:t>
        <a:bodyPr/>
        <a:lstStyle/>
        <a:p>
          <a:r>
            <a:rPr lang="bg-BG" sz="1000">
              <a:solidFill>
                <a:sysClr val="windowText" lastClr="000000"/>
              </a:solidFill>
              <a:latin typeface="Arial" panose="020B0604020202020204" pitchFamily="34" charset="0"/>
              <a:cs typeface="Arial" panose="020B0604020202020204" pitchFamily="34" charset="0"/>
            </a:rPr>
            <a:t>Съществуващият недостиг на финансиране в сектор „Земеделие“ рефлектира най-вече върху младите фермери (над 20%), следвани от предприятията в сектора и бенефициентите по ПРСР. </a:t>
          </a:r>
        </a:p>
      </dgm:t>
    </dgm:pt>
    <dgm:pt modelId="{EBB37C3D-2779-44C2-A13D-5B63993FB003}" type="parTrans" cxnId="{BEC6C5F9-5EE3-461A-A56E-F1FF6E13F223}">
      <dgm:prSet/>
      <dgm:spPr/>
      <dgm:t>
        <a:bodyPr/>
        <a:lstStyle/>
        <a:p>
          <a:endParaRPr lang="bg-BG"/>
        </a:p>
      </dgm:t>
    </dgm:pt>
    <dgm:pt modelId="{2D17E898-2A50-4E52-B170-529B09542C4D}" type="sibTrans" cxnId="{BEC6C5F9-5EE3-461A-A56E-F1FF6E13F223}">
      <dgm:prSet/>
      <dgm:spPr/>
      <dgm:t>
        <a:bodyPr/>
        <a:lstStyle/>
        <a:p>
          <a:endParaRPr lang="bg-BG"/>
        </a:p>
      </dgm:t>
    </dgm:pt>
    <dgm:pt modelId="{7A359FB4-3677-46C6-AB20-B0B29FB79F2E}">
      <dgm:prSet custT="1"/>
      <dgm:spPr/>
      <dgm:t>
        <a:bodyPr/>
        <a:lstStyle/>
        <a:p>
          <a:r>
            <a:rPr lang="bg-BG" sz="1000">
              <a:solidFill>
                <a:sysClr val="windowText" lastClr="000000"/>
              </a:solidFill>
              <a:latin typeface="Arial" panose="020B0604020202020204" pitchFamily="34" charset="0"/>
              <a:cs typeface="Arial" panose="020B0604020202020204" pitchFamily="34" charset="0"/>
            </a:rPr>
            <a:t>Въпреки общото подобрение на показателите за достъп до финансиране в последните години тенденцията при предприятията които не търсят финансиране поради очакван отказ „обезкуражени“ се увеличава и към 2017 г. те са 6%.</a:t>
          </a:r>
        </a:p>
      </dgm:t>
    </dgm:pt>
    <dgm:pt modelId="{28BD8D66-FBAE-4ABC-8BA1-30D8719E4844}" type="parTrans" cxnId="{C43003D7-8110-491A-8FDB-FDAC7B069EBF}">
      <dgm:prSet/>
      <dgm:spPr/>
    </dgm:pt>
    <dgm:pt modelId="{A7F437D4-06EC-4A46-B265-A28B81DD4D5C}" type="sibTrans" cxnId="{C43003D7-8110-491A-8FDB-FDAC7B069EBF}">
      <dgm:prSet/>
      <dgm:spPr/>
    </dgm:pt>
    <dgm:pt modelId="{D77E3C6D-3C1C-4B48-B5BB-DE47735C6F5E}" type="pres">
      <dgm:prSet presAssocID="{3424A3EB-E1CD-4640-A73C-94B25CE4CA8F}" presName="linearFlow" presStyleCnt="0">
        <dgm:presLayoutVars>
          <dgm:dir/>
          <dgm:animLvl val="lvl"/>
          <dgm:resizeHandles val="exact"/>
        </dgm:presLayoutVars>
      </dgm:prSet>
      <dgm:spPr/>
      <dgm:t>
        <a:bodyPr/>
        <a:lstStyle/>
        <a:p>
          <a:endParaRPr lang="bg-BG"/>
        </a:p>
      </dgm:t>
    </dgm:pt>
    <dgm:pt modelId="{6F2A6671-9997-439A-A0A1-0464CFFB057D}" type="pres">
      <dgm:prSet presAssocID="{9FF0E29E-7140-496B-B28F-C3B581EE665D}" presName="composite" presStyleCnt="0"/>
      <dgm:spPr/>
    </dgm:pt>
    <dgm:pt modelId="{0E0DC425-E521-4080-8973-AF8507DC74CA}" type="pres">
      <dgm:prSet presAssocID="{9FF0E29E-7140-496B-B28F-C3B581EE665D}" presName="parTx" presStyleLbl="node1" presStyleIdx="0" presStyleCnt="1">
        <dgm:presLayoutVars>
          <dgm:chMax val="0"/>
          <dgm:chPref val="0"/>
          <dgm:bulletEnabled val="1"/>
        </dgm:presLayoutVars>
      </dgm:prSet>
      <dgm:spPr/>
      <dgm:t>
        <a:bodyPr/>
        <a:lstStyle/>
        <a:p>
          <a:endParaRPr lang="bg-BG"/>
        </a:p>
      </dgm:t>
    </dgm:pt>
    <dgm:pt modelId="{B36ECA17-D9D0-4A8E-930E-58CF7E460ACC}" type="pres">
      <dgm:prSet presAssocID="{9FF0E29E-7140-496B-B28F-C3B581EE665D}" presName="parSh" presStyleLbl="node1" presStyleIdx="0" presStyleCnt="1" custScaleX="123350" custScaleY="39216" custLinFactNeighborX="9254" custLinFactNeighborY="-11352"/>
      <dgm:spPr/>
      <dgm:t>
        <a:bodyPr/>
        <a:lstStyle/>
        <a:p>
          <a:endParaRPr lang="bg-BG"/>
        </a:p>
      </dgm:t>
    </dgm:pt>
    <dgm:pt modelId="{8801F7B4-8E85-4DFD-BC8D-544F2E220260}" type="pres">
      <dgm:prSet presAssocID="{9FF0E29E-7140-496B-B28F-C3B581EE665D}" presName="desTx" presStyleLbl="fgAcc1" presStyleIdx="0" presStyleCnt="1" custScaleX="123443" custScaleY="82651" custLinFactNeighborX="-10358" custLinFactNeighborY="12703">
        <dgm:presLayoutVars>
          <dgm:bulletEnabled val="1"/>
        </dgm:presLayoutVars>
      </dgm:prSet>
      <dgm:spPr/>
      <dgm:t>
        <a:bodyPr/>
        <a:lstStyle/>
        <a:p>
          <a:endParaRPr lang="bg-BG"/>
        </a:p>
      </dgm:t>
    </dgm:pt>
  </dgm:ptLst>
  <dgm:cxnLst>
    <dgm:cxn modelId="{812CDF13-A58A-4C66-A451-0390E4D0F331}" srcId="{3424A3EB-E1CD-4640-A73C-94B25CE4CA8F}" destId="{9FF0E29E-7140-496B-B28F-C3B581EE665D}" srcOrd="0" destOrd="0" parTransId="{11D58D32-34E9-445A-BF03-00051889CDC6}" sibTransId="{A420DCE0-B29A-4B4E-9C59-9F3F6B624CB4}"/>
    <dgm:cxn modelId="{E2AAD4E2-D0A8-425A-91CF-1BFA158588E9}" srcId="{9FF0E29E-7140-496B-B28F-C3B581EE665D}" destId="{10B5BB81-9734-4DAF-9BDC-FCCC2EB06340}" srcOrd="0" destOrd="0" parTransId="{B1C88EE2-945B-41FC-B8A5-351A5B35DB77}" sibTransId="{99E3F28C-CC51-4A07-A4C6-348B972181DE}"/>
    <dgm:cxn modelId="{23F24DFE-0FBD-4A37-976D-73A4E0C28E99}" type="presOf" srcId="{10B5BB81-9734-4DAF-9BDC-FCCC2EB06340}" destId="{8801F7B4-8E85-4DFD-BC8D-544F2E220260}" srcOrd="0" destOrd="0" presId="urn:microsoft.com/office/officeart/2005/8/layout/process3"/>
    <dgm:cxn modelId="{47026662-363D-4C43-A080-B59E736DDF38}" type="presOf" srcId="{9FF0E29E-7140-496B-B28F-C3B581EE665D}" destId="{0E0DC425-E521-4080-8973-AF8507DC74CA}" srcOrd="0" destOrd="0" presId="urn:microsoft.com/office/officeart/2005/8/layout/process3"/>
    <dgm:cxn modelId="{9B211087-BDA0-414C-82A8-6A60872559D8}" type="presOf" srcId="{9FF0E29E-7140-496B-B28F-C3B581EE665D}" destId="{B36ECA17-D9D0-4A8E-930E-58CF7E460ACC}" srcOrd="1" destOrd="0" presId="urn:microsoft.com/office/officeart/2005/8/layout/process3"/>
    <dgm:cxn modelId="{8D70B0F3-1E90-4B34-B837-531E591D1897}" type="presOf" srcId="{7A359FB4-3677-46C6-AB20-B0B29FB79F2E}" destId="{8801F7B4-8E85-4DFD-BC8D-544F2E220260}" srcOrd="0" destOrd="2" presId="urn:microsoft.com/office/officeart/2005/8/layout/process3"/>
    <dgm:cxn modelId="{E9442B1E-AA33-44E8-A6E9-A4614C26FC4F}" type="presOf" srcId="{CE595CD4-8477-4644-9FEB-BF207EAD7EE1}" destId="{8801F7B4-8E85-4DFD-BC8D-544F2E220260}" srcOrd="0" destOrd="1" presId="urn:microsoft.com/office/officeart/2005/8/layout/process3"/>
    <dgm:cxn modelId="{BEC6C5F9-5EE3-461A-A56E-F1FF6E13F223}" srcId="{9FF0E29E-7140-496B-B28F-C3B581EE665D}" destId="{CE595CD4-8477-4644-9FEB-BF207EAD7EE1}" srcOrd="1" destOrd="0" parTransId="{EBB37C3D-2779-44C2-A13D-5B63993FB003}" sibTransId="{2D17E898-2A50-4E52-B170-529B09542C4D}"/>
    <dgm:cxn modelId="{F247D32C-C884-4DE5-A649-D0F9AF9610C4}" type="presOf" srcId="{3424A3EB-E1CD-4640-A73C-94B25CE4CA8F}" destId="{D77E3C6D-3C1C-4B48-B5BB-DE47735C6F5E}" srcOrd="0" destOrd="0" presId="urn:microsoft.com/office/officeart/2005/8/layout/process3"/>
    <dgm:cxn modelId="{C43003D7-8110-491A-8FDB-FDAC7B069EBF}" srcId="{9FF0E29E-7140-496B-B28F-C3B581EE665D}" destId="{7A359FB4-3677-46C6-AB20-B0B29FB79F2E}" srcOrd="2" destOrd="0" parTransId="{28BD8D66-FBAE-4ABC-8BA1-30D8719E4844}" sibTransId="{A7F437D4-06EC-4A46-B265-A28B81DD4D5C}"/>
    <dgm:cxn modelId="{ADD39B89-AE59-4495-9A04-7F9D7C1D8EFB}" type="presParOf" srcId="{D77E3C6D-3C1C-4B48-B5BB-DE47735C6F5E}" destId="{6F2A6671-9997-439A-A0A1-0464CFFB057D}" srcOrd="0" destOrd="0" presId="urn:microsoft.com/office/officeart/2005/8/layout/process3"/>
    <dgm:cxn modelId="{A8059FD8-8416-4C7C-8B64-BB5FD4B1C067}" type="presParOf" srcId="{6F2A6671-9997-439A-A0A1-0464CFFB057D}" destId="{0E0DC425-E521-4080-8973-AF8507DC74CA}" srcOrd="0" destOrd="0" presId="urn:microsoft.com/office/officeart/2005/8/layout/process3"/>
    <dgm:cxn modelId="{1C59A96B-44B6-4AF7-805B-113C7238D145}" type="presParOf" srcId="{6F2A6671-9997-439A-A0A1-0464CFFB057D}" destId="{B36ECA17-D9D0-4A8E-930E-58CF7E460ACC}" srcOrd="1" destOrd="0" presId="urn:microsoft.com/office/officeart/2005/8/layout/process3"/>
    <dgm:cxn modelId="{766EBE7A-1E5D-4BF5-A806-66BEE08AB4F5}" type="presParOf" srcId="{6F2A6671-9997-439A-A0A1-0464CFFB057D}" destId="{8801F7B4-8E85-4DFD-BC8D-544F2E220260}" srcOrd="2" destOrd="0" presId="urn:microsoft.com/office/officeart/2005/8/layout/process3"/>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36ECA17-D9D0-4A8E-930E-58CF7E460ACC}">
      <dsp:nvSpPr>
        <dsp:cNvPr id="0" name=""/>
        <dsp:cNvSpPr/>
      </dsp:nvSpPr>
      <dsp:spPr>
        <a:xfrm>
          <a:off x="401988" y="153013"/>
          <a:ext cx="5334815" cy="55906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38100" numCol="1" spcCol="1270" anchor="t" anchorCtr="0">
          <a:noAutofit/>
        </a:bodyPr>
        <a:lstStyle/>
        <a:p>
          <a:pPr lvl="0" algn="l" defTabSz="444500">
            <a:lnSpc>
              <a:spcPct val="90000"/>
            </a:lnSpc>
            <a:spcBef>
              <a:spcPct val="0"/>
            </a:spcBef>
            <a:spcAft>
              <a:spcPct val="35000"/>
            </a:spcAft>
          </a:pPr>
          <a:r>
            <a:rPr lang="bg-BG" sz="1000" b="1" kern="1200">
              <a:latin typeface="Arial" panose="020B0604020202020204" pitchFamily="34" charset="0"/>
              <a:cs typeface="Arial" panose="020B0604020202020204" pitchFamily="34" charset="0"/>
            </a:rPr>
            <a:t>Неоптимални инвестиционни ситуации и пазарни дефекти</a:t>
          </a:r>
        </a:p>
      </dsp:txBody>
      <dsp:txXfrm>
        <a:off x="401988" y="153013"/>
        <a:ext cx="5334815" cy="372708"/>
      </dsp:txXfrm>
    </dsp:sp>
    <dsp:sp modelId="{8801F7B4-8E85-4DFD-BC8D-544F2E220260}">
      <dsp:nvSpPr>
        <dsp:cNvPr id="0" name=""/>
        <dsp:cNvSpPr/>
      </dsp:nvSpPr>
      <dsp:spPr>
        <a:xfrm>
          <a:off x="437601" y="660631"/>
          <a:ext cx="5338838" cy="15710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a:lnSpc>
              <a:spcPct val="90000"/>
            </a:lnSpc>
            <a:spcBef>
              <a:spcPct val="0"/>
            </a:spcBef>
            <a:spcAft>
              <a:spcPct val="15000"/>
            </a:spcAft>
            <a:buChar char="••"/>
          </a:pPr>
          <a:r>
            <a:rPr lang="bg-BG" sz="1000" kern="1200">
              <a:solidFill>
                <a:sysClr val="windowText" lastClr="000000"/>
              </a:solidFill>
              <a:latin typeface="Arial" panose="020B0604020202020204" pitchFamily="34" charset="0"/>
              <a:cs typeface="Arial" panose="020B0604020202020204" pitchFamily="34" charset="0"/>
            </a:rPr>
            <a:t>Високи стойности на дисбаланс между търсене и предлагане на финансови средства в сектор „Земеделие“ и недостиг на търсенето в размер на 469,6 млн. евро общо за сектора и 152 млн. евро за микропредприятията в селски райони. </a:t>
          </a:r>
        </a:p>
        <a:p>
          <a:pPr marL="57150" lvl="1" indent="-57150" algn="l" defTabSz="444500">
            <a:lnSpc>
              <a:spcPct val="90000"/>
            </a:lnSpc>
            <a:spcBef>
              <a:spcPct val="0"/>
            </a:spcBef>
            <a:spcAft>
              <a:spcPct val="15000"/>
            </a:spcAft>
            <a:buChar char="••"/>
          </a:pPr>
          <a:r>
            <a:rPr lang="bg-BG" sz="1000" kern="1200">
              <a:solidFill>
                <a:sysClr val="windowText" lastClr="000000"/>
              </a:solidFill>
              <a:latin typeface="Arial" panose="020B0604020202020204" pitchFamily="34" charset="0"/>
              <a:cs typeface="Arial" panose="020B0604020202020204" pitchFamily="34" charset="0"/>
            </a:rPr>
            <a:t>Съществуващият недостиг на финансиране в сектор „Земеделие“ рефлектира най-вече върху младите фермери (над 20%), следвани от предприятията в сектора и бенефициентите по ПРСР. </a:t>
          </a:r>
        </a:p>
        <a:p>
          <a:pPr marL="57150" lvl="1" indent="-57150" algn="l" defTabSz="444500">
            <a:lnSpc>
              <a:spcPct val="90000"/>
            </a:lnSpc>
            <a:spcBef>
              <a:spcPct val="0"/>
            </a:spcBef>
            <a:spcAft>
              <a:spcPct val="15000"/>
            </a:spcAft>
            <a:buChar char="••"/>
          </a:pPr>
          <a:r>
            <a:rPr lang="bg-BG" sz="1000" kern="1200">
              <a:solidFill>
                <a:sysClr val="windowText" lastClr="000000"/>
              </a:solidFill>
              <a:latin typeface="Arial" panose="020B0604020202020204" pitchFamily="34" charset="0"/>
              <a:cs typeface="Arial" panose="020B0604020202020204" pitchFamily="34" charset="0"/>
            </a:rPr>
            <a:t>Въпреки общото подобрение на показателите за достъп до финансиране в последните години тенденцията при предприятията които не търсят финансиране поради очакван отказ „обезкуражени“ се увеличава и към 2017 г. те са 6%.</a:t>
          </a:r>
        </a:p>
      </dsp:txBody>
      <dsp:txXfrm>
        <a:off x="483615" y="706645"/>
        <a:ext cx="5246810" cy="1479002"/>
      </dsp:txXfrm>
    </dsp:sp>
  </dsp:spTree>
</dsp:drawing>
</file>

<file path=word/diagrams/layout1.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3116</Words>
  <Characters>17766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AVAsparuhov</dc:creator>
  <cp:lastModifiedBy>Snezhana Grigorova</cp:lastModifiedBy>
  <cp:revision>2</cp:revision>
  <dcterms:created xsi:type="dcterms:W3CDTF">2019-10-24T14:43:00Z</dcterms:created>
  <dcterms:modified xsi:type="dcterms:W3CDTF">2019-10-24T14:43:00Z</dcterms:modified>
</cp:coreProperties>
</file>